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1200EE">
      <w:pPr>
        <w:rPr>
          <w:color w:val="000000" w:themeColor="text1"/>
          <w14:textFill>
            <w14:solidFill>
              <w14:schemeClr w14:val="tx1"/>
            </w14:solidFill>
          </w14:textFill>
        </w:rPr>
      </w:pPr>
    </w:p>
    <w:p w14:paraId="1A67D325">
      <w:pPr>
        <w:rPr>
          <w:color w:val="000000" w:themeColor="text1"/>
          <w14:textFill>
            <w14:solidFill>
              <w14:schemeClr w14:val="tx1"/>
            </w14:solidFill>
          </w14:textFill>
        </w:rPr>
      </w:pPr>
    </w:p>
    <w:p w14:paraId="3CADD62B">
      <w:pPr>
        <w:rPr>
          <w:color w:val="000000" w:themeColor="text1"/>
          <w14:textFill>
            <w14:solidFill>
              <w14:schemeClr w14:val="tx1"/>
            </w14:solidFill>
          </w14:textFill>
        </w:rPr>
      </w:pPr>
    </w:p>
    <w:p w14:paraId="3041A72B">
      <w:pPr>
        <w:rPr>
          <w:color w:val="000000" w:themeColor="text1"/>
          <w14:textFill>
            <w14:solidFill>
              <w14:schemeClr w14:val="tx1"/>
            </w14:solidFill>
          </w14:textFill>
        </w:rPr>
      </w:pPr>
    </w:p>
    <w:p w14:paraId="0C59E304">
      <w:pPr>
        <w:keepNext w:val="0"/>
        <w:keepLines w:val="0"/>
        <w:pageBreakBefore w:val="0"/>
        <w:widowControl/>
        <w:kinsoku/>
        <w:wordWrap/>
        <w:overflowPunct/>
        <w:topLinePunct w:val="0"/>
        <w:autoSpaceDE/>
        <w:autoSpaceDN/>
        <w:bidi w:val="0"/>
        <w:adjustRightInd/>
        <w:snapToGrid/>
        <w:spacing w:line="360" w:lineRule="auto"/>
        <w:jc w:val="center"/>
        <w:textAlignment w:val="auto"/>
        <w:rPr>
          <w:color w:val="000000" w:themeColor="text1"/>
          <w14:textFill>
            <w14:solidFill>
              <w14:schemeClr w14:val="tx1"/>
            </w14:solidFill>
          </w14:textFill>
        </w:rPr>
      </w:pPr>
      <w:r>
        <w:rPr>
          <w:rFonts w:ascii="黑体" w:hAnsi="黑体" w:eastAsia="黑体"/>
          <w:b/>
          <w:color w:val="000000" w:themeColor="text1"/>
          <w:sz w:val="52"/>
          <w14:textFill>
            <w14:solidFill>
              <w14:schemeClr w14:val="tx1"/>
            </w14:solidFill>
          </w14:textFill>
        </w:rPr>
        <w:t>《入侵检测技术与应用》</w:t>
      </w:r>
    </w:p>
    <w:p w14:paraId="13C22181">
      <w:pPr>
        <w:keepNext w:val="0"/>
        <w:keepLines w:val="0"/>
        <w:pageBreakBefore w:val="0"/>
        <w:widowControl/>
        <w:kinsoku/>
        <w:wordWrap/>
        <w:overflowPunct/>
        <w:topLinePunct w:val="0"/>
        <w:autoSpaceDE/>
        <w:autoSpaceDN/>
        <w:bidi w:val="0"/>
        <w:adjustRightInd/>
        <w:snapToGrid/>
        <w:spacing w:line="360" w:lineRule="auto"/>
        <w:jc w:val="center"/>
        <w:textAlignment w:val="auto"/>
        <w:rPr>
          <w:color w:val="000000" w:themeColor="text1"/>
          <w14:textFill>
            <w14:solidFill>
              <w14:schemeClr w14:val="tx1"/>
            </w14:solidFill>
          </w14:textFill>
        </w:rPr>
      </w:pPr>
      <w:r>
        <w:rPr>
          <w:rFonts w:ascii="黑体" w:hAnsi="黑体" w:eastAsia="黑体"/>
          <w:b/>
          <w:color w:val="000000" w:themeColor="text1"/>
          <w:sz w:val="52"/>
          <w14:textFill>
            <w14:solidFill>
              <w14:schemeClr w14:val="tx1"/>
            </w14:solidFill>
          </w14:textFill>
        </w:rPr>
        <w:t>期末考核</w:t>
      </w:r>
    </w:p>
    <w:p w14:paraId="796D54D4">
      <w:pPr>
        <w:keepNext w:val="0"/>
        <w:keepLines w:val="0"/>
        <w:pageBreakBefore w:val="0"/>
        <w:widowControl/>
        <w:kinsoku/>
        <w:wordWrap/>
        <w:overflowPunct/>
        <w:topLinePunct w:val="0"/>
        <w:autoSpaceDE/>
        <w:autoSpaceDN/>
        <w:bidi w:val="0"/>
        <w:adjustRightInd/>
        <w:snapToGrid/>
        <w:spacing w:line="360" w:lineRule="auto"/>
        <w:jc w:val="center"/>
        <w:textAlignment w:val="auto"/>
        <w:rPr>
          <w:color w:val="000000" w:themeColor="text1"/>
          <w14:textFill>
            <w14:solidFill>
              <w14:schemeClr w14:val="tx1"/>
            </w14:solidFill>
          </w14:textFill>
        </w:rPr>
      </w:pPr>
      <w:r>
        <w:rPr>
          <w:rFonts w:ascii="黑体" w:hAnsi="黑体" w:eastAsia="黑体"/>
          <w:b/>
          <w:color w:val="000000" w:themeColor="text1"/>
          <w:sz w:val="52"/>
          <w14:textFill>
            <w14:solidFill>
              <w14:schemeClr w14:val="tx1"/>
            </w14:solidFill>
          </w14:textFill>
        </w:rPr>
        <w:t>设计报告</w:t>
      </w:r>
    </w:p>
    <w:p w14:paraId="1694B39F">
      <w:pPr>
        <w:rPr>
          <w:color w:val="000000" w:themeColor="text1"/>
          <w14:textFill>
            <w14:solidFill>
              <w14:schemeClr w14:val="tx1"/>
            </w14:solidFill>
          </w14:textFill>
        </w:rPr>
      </w:pPr>
    </w:p>
    <w:p w14:paraId="64788D70">
      <w:pPr>
        <w:rPr>
          <w:color w:val="000000" w:themeColor="text1"/>
          <w14:textFill>
            <w14:solidFill>
              <w14:schemeClr w14:val="tx1"/>
            </w14:solidFill>
          </w14:textFill>
        </w:rPr>
      </w:pPr>
    </w:p>
    <w:tbl>
      <w:tblPr>
        <w:tblStyle w:val="34"/>
        <w:tblW w:w="0" w:type="auto"/>
        <w:tblInd w:w="792" w:type="dxa"/>
        <w:tblLayout w:type="fixed"/>
        <w:tblCellMar>
          <w:top w:w="0" w:type="dxa"/>
          <w:left w:w="108" w:type="dxa"/>
          <w:bottom w:w="0" w:type="dxa"/>
          <w:right w:w="108" w:type="dxa"/>
        </w:tblCellMar>
      </w:tblPr>
      <w:tblGrid>
        <w:gridCol w:w="1527"/>
        <w:gridCol w:w="709"/>
        <w:gridCol w:w="641"/>
        <w:gridCol w:w="125"/>
        <w:gridCol w:w="992"/>
        <w:gridCol w:w="10"/>
        <w:gridCol w:w="1110"/>
        <w:gridCol w:w="68"/>
        <w:gridCol w:w="566"/>
        <w:gridCol w:w="361"/>
        <w:gridCol w:w="1446"/>
      </w:tblGrid>
      <w:tr w14:paraId="525C3529">
        <w:tblPrEx>
          <w:tblCellMar>
            <w:top w:w="0" w:type="dxa"/>
            <w:left w:w="108" w:type="dxa"/>
            <w:bottom w:w="0" w:type="dxa"/>
            <w:right w:w="108" w:type="dxa"/>
          </w:tblCellMar>
        </w:tblPrEx>
        <w:tc>
          <w:tcPr>
            <w:tcW w:w="1527" w:type="dxa"/>
            <w:vAlign w:val="center"/>
          </w:tcPr>
          <w:p w14:paraId="6072D60D">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课程名称</w:t>
            </w:r>
          </w:p>
        </w:tc>
        <w:tc>
          <w:tcPr>
            <w:tcW w:w="6028" w:type="dxa"/>
            <w:gridSpan w:val="10"/>
            <w:tcBorders>
              <w:bottom w:val="single" w:color="000000" w:sz="4" w:space="0"/>
            </w:tcBorders>
            <w:vAlign w:val="center"/>
          </w:tcPr>
          <w:p w14:paraId="308AA802">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入侵检测技术与应用</w:t>
            </w:r>
          </w:p>
        </w:tc>
      </w:tr>
      <w:tr w14:paraId="4619FE47">
        <w:tblPrEx>
          <w:tblCellMar>
            <w:top w:w="0" w:type="dxa"/>
            <w:left w:w="108" w:type="dxa"/>
            <w:bottom w:w="0" w:type="dxa"/>
            <w:right w:w="108" w:type="dxa"/>
          </w:tblCellMar>
        </w:tblPrEx>
        <w:tc>
          <w:tcPr>
            <w:tcW w:w="2236" w:type="dxa"/>
            <w:gridSpan w:val="2"/>
            <w:vAlign w:val="center"/>
          </w:tcPr>
          <w:p w14:paraId="367036F8">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实验项目名称</w:t>
            </w:r>
          </w:p>
        </w:tc>
        <w:tc>
          <w:tcPr>
            <w:tcW w:w="5319" w:type="dxa"/>
            <w:gridSpan w:val="9"/>
            <w:tcBorders>
              <w:top w:val="single" w:color="000000" w:sz="4" w:space="0"/>
              <w:bottom w:val="single" w:color="000000" w:sz="4" w:space="0"/>
            </w:tcBorders>
            <w:vAlign w:val="center"/>
          </w:tcPr>
          <w:p w14:paraId="09F9901A">
            <w:pPr>
              <w:jc w:val="center"/>
              <w:rPr>
                <w:rFonts w:hint="eastAsia" w:ascii="仿宋" w:hAnsi="仿宋" w:eastAsia="仿宋" w:cs="仿宋"/>
                <w:b w:val="0"/>
                <w:bCs/>
                <w:color w:val="000000" w:themeColor="text1"/>
                <w:sz w:val="32"/>
                <w:szCs w:val="32"/>
                <w14:textFill>
                  <w14:solidFill>
                    <w14:schemeClr w14:val="tx1"/>
                  </w14:solidFill>
                </w14:textFill>
              </w:rPr>
            </w:pPr>
            <w:r>
              <w:rPr>
                <w:rFonts w:ascii="宋体" w:hAnsi="宋体" w:eastAsia="宋体"/>
                <w:color w:val="000000" w:themeColor="text1"/>
                <w:sz w:val="28"/>
                <w14:textFill>
                  <w14:solidFill>
                    <w14:schemeClr w14:val="tx1"/>
                  </w14:solidFill>
                </w14:textFill>
              </w:rPr>
              <w:t>基于Snort 3的高级网络扫描与HTTP应用层攻击检测规</w:t>
            </w:r>
          </w:p>
        </w:tc>
      </w:tr>
      <w:tr w14:paraId="78A64E96">
        <w:tblPrEx>
          <w:tblCellMar>
            <w:top w:w="0" w:type="dxa"/>
            <w:left w:w="108" w:type="dxa"/>
            <w:bottom w:w="0" w:type="dxa"/>
            <w:right w:w="108" w:type="dxa"/>
          </w:tblCellMar>
        </w:tblPrEx>
        <w:tc>
          <w:tcPr>
            <w:tcW w:w="1527" w:type="dxa"/>
            <w:vAlign w:val="center"/>
          </w:tcPr>
          <w:p w14:paraId="6E3CB28C">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班级</w:t>
            </w:r>
          </w:p>
        </w:tc>
        <w:tc>
          <w:tcPr>
            <w:tcW w:w="1475" w:type="dxa"/>
            <w:gridSpan w:val="3"/>
            <w:tcBorders>
              <w:bottom w:val="single" w:color="000000" w:sz="4" w:space="0"/>
            </w:tcBorders>
            <w:vAlign w:val="center"/>
          </w:tcPr>
          <w:p w14:paraId="299A8D03">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网络2302</w:t>
            </w:r>
          </w:p>
        </w:tc>
        <w:tc>
          <w:tcPr>
            <w:tcW w:w="992" w:type="dxa"/>
            <w:vAlign w:val="center"/>
          </w:tcPr>
          <w:p w14:paraId="29207226">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姓名</w:t>
            </w:r>
          </w:p>
        </w:tc>
        <w:tc>
          <w:tcPr>
            <w:tcW w:w="1188" w:type="dxa"/>
            <w:gridSpan w:val="3"/>
            <w:tcBorders>
              <w:bottom w:val="single" w:color="000000" w:sz="4" w:space="0"/>
            </w:tcBorders>
            <w:vAlign w:val="center"/>
          </w:tcPr>
          <w:p w14:paraId="5CC7EF46">
            <w:pPr>
              <w:jc w:val="center"/>
              <w:rPr>
                <w:rFonts w:hint="eastAsia" w:ascii="仿宋" w:hAnsi="仿宋" w:eastAsia="仿宋" w:cs="仿宋"/>
                <w:b w:val="0"/>
                <w:bCs/>
                <w:color w:val="000000" w:themeColor="text1"/>
                <w:sz w:val="32"/>
                <w:szCs w:val="32"/>
                <w14:textFill>
                  <w14:solidFill>
                    <w14:schemeClr w14:val="tx1"/>
                  </w14:solidFill>
                </w14:textFill>
              </w:rPr>
            </w:pPr>
            <w:bookmarkStart w:id="24" w:name="_GoBack"/>
            <w:bookmarkEnd w:id="24"/>
          </w:p>
        </w:tc>
        <w:tc>
          <w:tcPr>
            <w:tcW w:w="927" w:type="dxa"/>
            <w:gridSpan w:val="2"/>
            <w:vAlign w:val="center"/>
          </w:tcPr>
          <w:p w14:paraId="7D33379A">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学号</w:t>
            </w:r>
          </w:p>
        </w:tc>
        <w:tc>
          <w:tcPr>
            <w:tcW w:w="1446" w:type="dxa"/>
            <w:tcBorders>
              <w:bottom w:val="single" w:color="000000" w:sz="4" w:space="0"/>
            </w:tcBorders>
            <w:vAlign w:val="center"/>
          </w:tcPr>
          <w:p w14:paraId="30E913B8">
            <w:pPr>
              <w:jc w:val="center"/>
              <w:rPr>
                <w:rFonts w:hint="eastAsia" w:ascii="仿宋" w:hAnsi="仿宋" w:eastAsia="仿宋" w:cs="仿宋"/>
                <w:b w:val="0"/>
                <w:bCs/>
                <w:color w:val="000000" w:themeColor="text1"/>
                <w:sz w:val="21"/>
                <w:szCs w:val="21"/>
                <w14:textFill>
                  <w14:solidFill>
                    <w14:schemeClr w14:val="tx1"/>
                  </w14:solidFill>
                </w14:textFill>
              </w:rPr>
            </w:pPr>
          </w:p>
        </w:tc>
      </w:tr>
      <w:tr w14:paraId="6F204E91">
        <w:tblPrEx>
          <w:tblCellMar>
            <w:top w:w="0" w:type="dxa"/>
            <w:left w:w="108" w:type="dxa"/>
            <w:bottom w:w="0" w:type="dxa"/>
            <w:right w:w="108" w:type="dxa"/>
          </w:tblCellMar>
        </w:tblPrEx>
        <w:tc>
          <w:tcPr>
            <w:tcW w:w="1527" w:type="dxa"/>
            <w:vAlign w:val="center"/>
          </w:tcPr>
          <w:p w14:paraId="7A41F1E3">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实验日期</w:t>
            </w:r>
          </w:p>
        </w:tc>
        <w:tc>
          <w:tcPr>
            <w:tcW w:w="2477" w:type="dxa"/>
            <w:gridSpan w:val="5"/>
            <w:tcBorders>
              <w:bottom w:val="single" w:color="000000" w:sz="4" w:space="0"/>
            </w:tcBorders>
            <w:vAlign w:val="center"/>
          </w:tcPr>
          <w:p w14:paraId="4EE99ACF">
            <w:pPr>
              <w:jc w:val="center"/>
              <w:rPr>
                <w:rFonts w:hint="eastAsia" w:ascii="仿宋" w:hAnsi="仿宋" w:eastAsia="仿宋" w:cs="仿宋"/>
                <w:b w:val="0"/>
                <w:bCs/>
                <w:color w:val="000000" w:themeColor="text1"/>
                <w:sz w:val="32"/>
                <w:szCs w:val="32"/>
                <w14:textFill>
                  <w14:solidFill>
                    <w14:schemeClr w14:val="tx1"/>
                  </w14:solidFill>
                </w14:textFill>
              </w:rPr>
            </w:pPr>
            <w:r>
              <w:rPr>
                <w:rFonts w:ascii="仿宋" w:hAnsi="仿宋" w:eastAsia="仿宋" w:cs="仿宋"/>
                <w:b w:val="0"/>
                <w:bCs/>
                <w:color w:val="000000" w:themeColor="text1"/>
                <w:sz w:val="28"/>
                <w:szCs w:val="28"/>
                <w14:textFill>
                  <w14:solidFill>
                    <w14:schemeClr w14:val="tx1"/>
                  </w14:solidFill>
                </w14:textFill>
              </w:rPr>
              <w:t>202</w:t>
            </w:r>
            <w:r>
              <w:rPr>
                <w:rFonts w:hint="eastAsia" w:ascii="仿宋" w:hAnsi="仿宋" w:eastAsia="仿宋" w:cs="仿宋"/>
                <w:b w:val="0"/>
                <w:bCs/>
                <w:color w:val="000000" w:themeColor="text1"/>
                <w:sz w:val="28"/>
                <w:szCs w:val="28"/>
                <w14:textFill>
                  <w14:solidFill>
                    <w14:schemeClr w14:val="tx1"/>
                  </w14:solidFill>
                </w14:textFill>
              </w:rPr>
              <w:t>6</w:t>
            </w:r>
            <w:r>
              <w:rPr>
                <w:rFonts w:ascii="仿宋" w:hAnsi="仿宋" w:eastAsia="仿宋" w:cs="仿宋"/>
                <w:b w:val="0"/>
                <w:bCs/>
                <w:color w:val="000000" w:themeColor="text1"/>
                <w:sz w:val="28"/>
                <w:szCs w:val="28"/>
                <w14:textFill>
                  <w14:solidFill>
                    <w14:schemeClr w14:val="tx1"/>
                  </w14:solidFill>
                </w14:textFill>
              </w:rPr>
              <w:t>年</w:t>
            </w:r>
            <w:r>
              <w:rPr>
                <w:rFonts w:hint="eastAsia" w:ascii="仿宋" w:hAnsi="仿宋" w:eastAsia="仿宋" w:cs="仿宋"/>
                <w:b w:val="0"/>
                <w:bCs/>
                <w:color w:val="000000" w:themeColor="text1"/>
                <w:sz w:val="28"/>
                <w:szCs w:val="28"/>
                <w:lang w:val="en-US" w:eastAsia="zh-CN"/>
                <w14:textFill>
                  <w14:solidFill>
                    <w14:schemeClr w14:val="tx1"/>
                  </w14:solidFill>
                </w14:textFill>
              </w:rPr>
              <w:t>6</w:t>
            </w:r>
            <w:r>
              <w:rPr>
                <w:rFonts w:ascii="仿宋" w:hAnsi="仿宋" w:eastAsia="仿宋" w:cs="仿宋"/>
                <w:b w:val="0"/>
                <w:bCs/>
                <w:color w:val="000000" w:themeColor="text1"/>
                <w:sz w:val="28"/>
                <w:szCs w:val="28"/>
                <w14:textFill>
                  <w14:solidFill>
                    <w14:schemeClr w14:val="tx1"/>
                  </w14:solidFill>
                </w14:textFill>
              </w:rPr>
              <w:t>月</w:t>
            </w:r>
            <w:r>
              <w:rPr>
                <w:rFonts w:hint="eastAsia" w:ascii="仿宋" w:hAnsi="仿宋" w:eastAsia="仿宋" w:cs="仿宋"/>
                <w:b w:val="0"/>
                <w:bCs/>
                <w:color w:val="000000" w:themeColor="text1"/>
                <w:sz w:val="28"/>
                <w:szCs w:val="28"/>
                <w:lang w:val="en-US" w:eastAsia="zh-CN"/>
                <w14:textFill>
                  <w14:solidFill>
                    <w14:schemeClr w14:val="tx1"/>
                  </w14:solidFill>
                </w14:textFill>
              </w:rPr>
              <w:t>1</w:t>
            </w:r>
            <w:r>
              <w:rPr>
                <w:rFonts w:hint="eastAsia" w:ascii="仿宋" w:hAnsi="仿宋" w:eastAsia="仿宋" w:cs="仿宋"/>
                <w:b w:val="0"/>
                <w:bCs/>
                <w:color w:val="000000" w:themeColor="text1"/>
                <w:sz w:val="28"/>
                <w:szCs w:val="28"/>
                <w14:textFill>
                  <w14:solidFill>
                    <w14:schemeClr w14:val="tx1"/>
                  </w14:solidFill>
                </w14:textFill>
              </w:rPr>
              <w:t>5</w:t>
            </w:r>
            <w:r>
              <w:rPr>
                <w:rFonts w:ascii="仿宋" w:hAnsi="仿宋" w:eastAsia="仿宋" w:cs="仿宋"/>
                <w:b w:val="0"/>
                <w:bCs/>
                <w:color w:val="000000" w:themeColor="text1"/>
                <w:sz w:val="28"/>
                <w:szCs w:val="28"/>
                <w14:textFill>
                  <w14:solidFill>
                    <w14:schemeClr w14:val="tx1"/>
                  </w14:solidFill>
                </w14:textFill>
              </w:rPr>
              <w:t>日</w:t>
            </w:r>
          </w:p>
        </w:tc>
        <w:tc>
          <w:tcPr>
            <w:tcW w:w="1744" w:type="dxa"/>
            <w:gridSpan w:val="3"/>
            <w:tcBorders>
              <w:top w:val="single" w:color="000000" w:sz="4" w:space="0"/>
            </w:tcBorders>
            <w:vAlign w:val="center"/>
          </w:tcPr>
          <w:p w14:paraId="72E4CF16">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实验地点</w:t>
            </w:r>
          </w:p>
        </w:tc>
        <w:tc>
          <w:tcPr>
            <w:tcW w:w="1807" w:type="dxa"/>
            <w:gridSpan w:val="2"/>
            <w:tcBorders>
              <w:top w:val="single" w:color="000000" w:sz="4" w:space="0"/>
              <w:bottom w:val="single" w:color="000000" w:sz="4" w:space="0"/>
            </w:tcBorders>
            <w:vAlign w:val="center"/>
          </w:tcPr>
          <w:p w14:paraId="4EE981AB">
            <w:pP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数智楼605</w:t>
            </w:r>
          </w:p>
        </w:tc>
      </w:tr>
      <w:tr w14:paraId="2D4CB9A4">
        <w:tblPrEx>
          <w:tblCellMar>
            <w:top w:w="0" w:type="dxa"/>
            <w:left w:w="108" w:type="dxa"/>
            <w:bottom w:w="0" w:type="dxa"/>
            <w:right w:w="108" w:type="dxa"/>
          </w:tblCellMar>
        </w:tblPrEx>
        <w:tc>
          <w:tcPr>
            <w:tcW w:w="1527" w:type="dxa"/>
            <w:vAlign w:val="center"/>
          </w:tcPr>
          <w:p w14:paraId="3C0FC990">
            <w:pPr>
              <w:jc w:val="center"/>
              <w:rPr>
                <w:rFonts w:hint="eastAsia" w:ascii="仿宋" w:hAnsi="仿宋" w:eastAsia="仿宋" w:cs="仿宋"/>
                <w:b w:val="0"/>
                <w:bCs/>
                <w:color w:val="000000" w:themeColor="text1"/>
                <w:sz w:val="32"/>
                <w:szCs w:val="32"/>
                <w14:textFill>
                  <w14:solidFill>
                    <w14:schemeClr w14:val="tx1"/>
                  </w14:solidFill>
                </w14:textFill>
              </w:rPr>
            </w:pPr>
            <w:r>
              <w:rPr>
                <w:rFonts w:ascii="宋体" w:hAnsi="宋体" w:eastAsia="宋体"/>
                <w:color w:val="000000" w:themeColor="text1"/>
                <w:sz w:val="28"/>
                <w14:textFill>
                  <w14:solidFill>
                    <w14:schemeClr w14:val="tx1"/>
                  </w14:solidFill>
                </w14:textFill>
              </w:rPr>
              <w:t>实验组别</w:t>
            </w:r>
          </w:p>
        </w:tc>
        <w:tc>
          <w:tcPr>
            <w:tcW w:w="2477" w:type="dxa"/>
            <w:gridSpan w:val="5"/>
            <w:tcBorders>
              <w:bottom w:val="single" w:color="000000" w:sz="4" w:space="0"/>
            </w:tcBorders>
            <w:vAlign w:val="center"/>
          </w:tcPr>
          <w:p w14:paraId="122D5C5E">
            <w:pPr>
              <w:jc w:val="center"/>
              <w:rPr>
                <w:rFonts w:hint="eastAsia" w:ascii="仿宋" w:hAnsi="仿宋" w:eastAsia="仿宋" w:cs="仿宋"/>
                <w:b w:val="0"/>
                <w:bCs/>
                <w:color w:val="000000" w:themeColor="text1"/>
                <w:sz w:val="28"/>
                <w:szCs w:val="28"/>
                <w:lang w:val="en-US" w:eastAsia="zh-CN"/>
                <w14:textFill>
                  <w14:solidFill>
                    <w14:schemeClr w14:val="tx1"/>
                  </w14:solidFill>
                </w14:textFill>
              </w:rPr>
            </w:pPr>
            <w:r>
              <w:rPr>
                <w:rFonts w:hint="eastAsia" w:ascii="仿宋" w:hAnsi="仿宋" w:eastAsia="仿宋" w:cs="仿宋"/>
                <w:b w:val="0"/>
                <w:bCs/>
                <w:color w:val="000000" w:themeColor="text1"/>
                <w:sz w:val="28"/>
                <w:szCs w:val="28"/>
                <w:lang w:val="en-US" w:eastAsia="zh-CN"/>
                <w14:textFill>
                  <w14:solidFill>
                    <w14:schemeClr w14:val="tx1"/>
                  </w14:solidFill>
                </w14:textFill>
              </w:rPr>
              <w:t>7</w:t>
            </w:r>
          </w:p>
        </w:tc>
        <w:tc>
          <w:tcPr>
            <w:tcW w:w="1744" w:type="dxa"/>
            <w:gridSpan w:val="3"/>
            <w:tcBorders>
              <w:top w:val="single" w:color="000000" w:sz="4" w:space="0"/>
            </w:tcBorders>
            <w:vAlign w:val="center"/>
          </w:tcPr>
          <w:p w14:paraId="08136FA0">
            <w:pPr>
              <w:jc w:val="center"/>
              <w:rPr>
                <w:rFonts w:hint="eastAsia" w:ascii="仿宋" w:hAnsi="仿宋" w:eastAsia="仿宋" w:cs="仿宋"/>
                <w:b w:val="0"/>
                <w:bCs/>
                <w:color w:val="000000" w:themeColor="text1"/>
                <w:sz w:val="32"/>
                <w:szCs w:val="32"/>
                <w14:textFill>
                  <w14:solidFill>
                    <w14:schemeClr w14:val="tx1"/>
                  </w14:solidFill>
                </w14:textFill>
              </w:rPr>
            </w:pPr>
            <w:r>
              <w:rPr>
                <w:rFonts w:ascii="宋体" w:hAnsi="宋体" w:eastAsia="宋体"/>
                <w:color w:val="000000" w:themeColor="text1"/>
                <w:sz w:val="28"/>
                <w14:textFill>
                  <w14:solidFill>
                    <w14:schemeClr w14:val="tx1"/>
                  </w14:solidFill>
                </w14:textFill>
              </w:rPr>
              <w:t>同组实验者</w:t>
            </w:r>
          </w:p>
        </w:tc>
        <w:tc>
          <w:tcPr>
            <w:tcW w:w="1807" w:type="dxa"/>
            <w:gridSpan w:val="2"/>
            <w:tcBorders>
              <w:top w:val="single" w:color="000000" w:sz="4" w:space="0"/>
              <w:bottom w:val="single" w:color="000000" w:sz="4" w:space="0"/>
            </w:tcBorders>
            <w:vAlign w:val="center"/>
          </w:tcPr>
          <w:p w14:paraId="0880E4BB">
            <w:pPr>
              <w:rPr>
                <w:rFonts w:hint="eastAsia" w:ascii="仿宋" w:hAnsi="仿宋" w:eastAsia="仿宋" w:cs="仿宋"/>
                <w:b w:val="0"/>
                <w:bCs/>
                <w:color w:val="000000" w:themeColor="text1"/>
                <w:sz w:val="32"/>
                <w:szCs w:val="32"/>
                <w14:textFill>
                  <w14:solidFill>
                    <w14:schemeClr w14:val="tx1"/>
                  </w14:solidFill>
                </w14:textFill>
              </w:rPr>
            </w:pPr>
          </w:p>
        </w:tc>
      </w:tr>
      <w:tr w14:paraId="673D16E0">
        <w:tblPrEx>
          <w:tblCellMar>
            <w:top w:w="0" w:type="dxa"/>
            <w:left w:w="108" w:type="dxa"/>
            <w:bottom w:w="0" w:type="dxa"/>
            <w:right w:w="108" w:type="dxa"/>
          </w:tblCellMar>
        </w:tblPrEx>
        <w:tc>
          <w:tcPr>
            <w:tcW w:w="1527" w:type="dxa"/>
            <w:vAlign w:val="center"/>
          </w:tcPr>
          <w:p w14:paraId="7CE8B71D">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班级</w:t>
            </w:r>
          </w:p>
        </w:tc>
        <w:tc>
          <w:tcPr>
            <w:tcW w:w="1475" w:type="dxa"/>
            <w:gridSpan w:val="3"/>
            <w:tcBorders>
              <w:bottom w:val="single" w:color="000000" w:sz="4" w:space="0"/>
            </w:tcBorders>
            <w:vAlign w:val="center"/>
          </w:tcPr>
          <w:p w14:paraId="3A2EEC27">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网络2302</w:t>
            </w:r>
          </w:p>
        </w:tc>
        <w:tc>
          <w:tcPr>
            <w:tcW w:w="992" w:type="dxa"/>
            <w:vAlign w:val="center"/>
          </w:tcPr>
          <w:p w14:paraId="1F1EDA6A">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姓名</w:t>
            </w:r>
          </w:p>
        </w:tc>
        <w:tc>
          <w:tcPr>
            <w:tcW w:w="1188" w:type="dxa"/>
            <w:gridSpan w:val="3"/>
            <w:tcBorders>
              <w:bottom w:val="single" w:color="000000" w:sz="4" w:space="0"/>
            </w:tcBorders>
            <w:vAlign w:val="center"/>
          </w:tcPr>
          <w:p w14:paraId="7AB3724A">
            <w:pPr>
              <w:jc w:val="center"/>
              <w:rPr>
                <w:rFonts w:hint="eastAsia" w:ascii="仿宋" w:hAnsi="仿宋" w:eastAsia="仿宋" w:cs="仿宋"/>
                <w:b w:val="0"/>
                <w:bCs/>
                <w:color w:val="000000" w:themeColor="text1"/>
                <w:sz w:val="32"/>
                <w:szCs w:val="32"/>
                <w14:textFill>
                  <w14:solidFill>
                    <w14:schemeClr w14:val="tx1"/>
                  </w14:solidFill>
                </w14:textFill>
              </w:rPr>
            </w:pPr>
          </w:p>
        </w:tc>
        <w:tc>
          <w:tcPr>
            <w:tcW w:w="927" w:type="dxa"/>
            <w:gridSpan w:val="2"/>
            <w:vAlign w:val="center"/>
          </w:tcPr>
          <w:p w14:paraId="1C93DD66">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学号</w:t>
            </w:r>
          </w:p>
        </w:tc>
        <w:tc>
          <w:tcPr>
            <w:tcW w:w="1446" w:type="dxa"/>
            <w:tcBorders>
              <w:bottom w:val="single" w:color="000000" w:sz="4" w:space="0"/>
            </w:tcBorders>
            <w:vAlign w:val="center"/>
          </w:tcPr>
          <w:p w14:paraId="5CAA2EB3">
            <w:pPr>
              <w:jc w:val="center"/>
              <w:rPr>
                <w:rFonts w:hint="eastAsia" w:ascii="仿宋" w:hAnsi="仿宋" w:eastAsia="仿宋" w:cs="仿宋"/>
                <w:b w:val="0"/>
                <w:bCs/>
                <w:color w:val="000000" w:themeColor="text1"/>
                <w:sz w:val="21"/>
                <w:szCs w:val="21"/>
                <w14:textFill>
                  <w14:solidFill>
                    <w14:schemeClr w14:val="tx1"/>
                  </w14:solidFill>
                </w14:textFill>
              </w:rPr>
            </w:pPr>
          </w:p>
        </w:tc>
      </w:tr>
      <w:tr w14:paraId="5A75759E">
        <w:tblPrEx>
          <w:tblCellMar>
            <w:top w:w="0" w:type="dxa"/>
            <w:left w:w="108" w:type="dxa"/>
            <w:bottom w:w="0" w:type="dxa"/>
            <w:right w:w="108" w:type="dxa"/>
          </w:tblCellMar>
        </w:tblPrEx>
        <w:tc>
          <w:tcPr>
            <w:tcW w:w="1527" w:type="dxa"/>
            <w:vAlign w:val="center"/>
          </w:tcPr>
          <w:p w14:paraId="4F1E1AEA">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班级</w:t>
            </w:r>
          </w:p>
        </w:tc>
        <w:tc>
          <w:tcPr>
            <w:tcW w:w="1475" w:type="dxa"/>
            <w:gridSpan w:val="3"/>
            <w:tcBorders>
              <w:bottom w:val="single" w:color="000000" w:sz="4" w:space="0"/>
            </w:tcBorders>
            <w:vAlign w:val="center"/>
          </w:tcPr>
          <w:p w14:paraId="06F1CF62">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网络2302</w:t>
            </w:r>
          </w:p>
        </w:tc>
        <w:tc>
          <w:tcPr>
            <w:tcW w:w="992" w:type="dxa"/>
            <w:vAlign w:val="center"/>
          </w:tcPr>
          <w:p w14:paraId="73C18AC0">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姓名</w:t>
            </w:r>
          </w:p>
        </w:tc>
        <w:tc>
          <w:tcPr>
            <w:tcW w:w="1188" w:type="dxa"/>
            <w:gridSpan w:val="3"/>
            <w:tcBorders>
              <w:bottom w:val="single" w:color="000000" w:sz="4" w:space="0"/>
            </w:tcBorders>
            <w:vAlign w:val="center"/>
          </w:tcPr>
          <w:p w14:paraId="166C9F2C">
            <w:pPr>
              <w:jc w:val="center"/>
              <w:rPr>
                <w:rFonts w:hint="eastAsia" w:ascii="仿宋" w:hAnsi="仿宋" w:eastAsia="仿宋" w:cs="仿宋"/>
                <w:b w:val="0"/>
                <w:bCs/>
                <w:color w:val="000000" w:themeColor="text1"/>
                <w:sz w:val="32"/>
                <w:szCs w:val="32"/>
                <w14:textFill>
                  <w14:solidFill>
                    <w14:schemeClr w14:val="tx1"/>
                  </w14:solidFill>
                </w14:textFill>
              </w:rPr>
            </w:pPr>
          </w:p>
        </w:tc>
        <w:tc>
          <w:tcPr>
            <w:tcW w:w="927" w:type="dxa"/>
            <w:gridSpan w:val="2"/>
            <w:vAlign w:val="center"/>
          </w:tcPr>
          <w:p w14:paraId="15B42E00">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学号</w:t>
            </w:r>
          </w:p>
        </w:tc>
        <w:tc>
          <w:tcPr>
            <w:tcW w:w="1446" w:type="dxa"/>
            <w:tcBorders>
              <w:bottom w:val="single" w:color="000000" w:sz="4" w:space="0"/>
            </w:tcBorders>
            <w:vAlign w:val="center"/>
          </w:tcPr>
          <w:p w14:paraId="7A4B77D3">
            <w:pPr>
              <w:jc w:val="center"/>
              <w:rPr>
                <w:rFonts w:hint="eastAsia" w:ascii="仿宋" w:hAnsi="仿宋" w:eastAsia="仿宋" w:cs="仿宋"/>
                <w:b w:val="0"/>
                <w:bCs/>
                <w:color w:val="000000" w:themeColor="text1"/>
                <w:sz w:val="21"/>
                <w:szCs w:val="21"/>
                <w14:textFill>
                  <w14:solidFill>
                    <w14:schemeClr w14:val="tx1"/>
                  </w14:solidFill>
                </w14:textFill>
              </w:rPr>
            </w:pPr>
          </w:p>
        </w:tc>
      </w:tr>
      <w:tr w14:paraId="2F78729B">
        <w:tblPrEx>
          <w:tblCellMar>
            <w:top w:w="0" w:type="dxa"/>
            <w:left w:w="108" w:type="dxa"/>
            <w:bottom w:w="0" w:type="dxa"/>
            <w:right w:w="108" w:type="dxa"/>
          </w:tblCellMar>
        </w:tblPrEx>
        <w:tc>
          <w:tcPr>
            <w:tcW w:w="1527" w:type="dxa"/>
            <w:vAlign w:val="center"/>
          </w:tcPr>
          <w:p w14:paraId="6D41BCC6">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班级</w:t>
            </w:r>
          </w:p>
        </w:tc>
        <w:tc>
          <w:tcPr>
            <w:tcW w:w="1475" w:type="dxa"/>
            <w:gridSpan w:val="3"/>
            <w:tcBorders>
              <w:bottom w:val="single" w:color="000000" w:sz="4" w:space="0"/>
            </w:tcBorders>
            <w:vAlign w:val="center"/>
          </w:tcPr>
          <w:p w14:paraId="31D51AAF">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网络2302</w:t>
            </w:r>
          </w:p>
        </w:tc>
        <w:tc>
          <w:tcPr>
            <w:tcW w:w="992" w:type="dxa"/>
            <w:vAlign w:val="center"/>
          </w:tcPr>
          <w:p w14:paraId="0670310B">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姓名</w:t>
            </w:r>
          </w:p>
        </w:tc>
        <w:tc>
          <w:tcPr>
            <w:tcW w:w="1188" w:type="dxa"/>
            <w:gridSpan w:val="3"/>
            <w:tcBorders>
              <w:bottom w:val="single" w:color="000000" w:sz="4" w:space="0"/>
            </w:tcBorders>
            <w:vAlign w:val="center"/>
          </w:tcPr>
          <w:p w14:paraId="7F49A7B5">
            <w:pPr>
              <w:jc w:val="center"/>
              <w:rPr>
                <w:rFonts w:hint="eastAsia" w:ascii="仿宋" w:hAnsi="仿宋" w:eastAsia="仿宋" w:cs="仿宋"/>
                <w:b w:val="0"/>
                <w:bCs/>
                <w:color w:val="000000" w:themeColor="text1"/>
                <w:sz w:val="32"/>
                <w:szCs w:val="32"/>
                <w14:textFill>
                  <w14:solidFill>
                    <w14:schemeClr w14:val="tx1"/>
                  </w14:solidFill>
                </w14:textFill>
              </w:rPr>
            </w:pPr>
          </w:p>
        </w:tc>
        <w:tc>
          <w:tcPr>
            <w:tcW w:w="927" w:type="dxa"/>
            <w:gridSpan w:val="2"/>
            <w:vAlign w:val="center"/>
          </w:tcPr>
          <w:p w14:paraId="4BF46AF5">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学号</w:t>
            </w:r>
          </w:p>
        </w:tc>
        <w:tc>
          <w:tcPr>
            <w:tcW w:w="1446" w:type="dxa"/>
            <w:tcBorders>
              <w:bottom w:val="single" w:color="000000" w:sz="4" w:space="0"/>
            </w:tcBorders>
            <w:vAlign w:val="center"/>
          </w:tcPr>
          <w:p w14:paraId="1D6DEB68">
            <w:pPr>
              <w:jc w:val="center"/>
              <w:rPr>
                <w:rFonts w:hint="eastAsia" w:ascii="仿宋" w:hAnsi="仿宋" w:eastAsia="仿宋" w:cs="仿宋"/>
                <w:b w:val="0"/>
                <w:bCs/>
                <w:color w:val="000000" w:themeColor="text1"/>
                <w:sz w:val="21"/>
                <w:szCs w:val="21"/>
                <w14:textFill>
                  <w14:solidFill>
                    <w14:schemeClr w14:val="tx1"/>
                  </w14:solidFill>
                </w14:textFill>
              </w:rPr>
            </w:pPr>
          </w:p>
        </w:tc>
      </w:tr>
      <w:tr w14:paraId="44195F11">
        <w:tblPrEx>
          <w:tblCellMar>
            <w:top w:w="0" w:type="dxa"/>
            <w:left w:w="108" w:type="dxa"/>
            <w:bottom w:w="0" w:type="dxa"/>
            <w:right w:w="108" w:type="dxa"/>
          </w:tblCellMar>
        </w:tblPrEx>
        <w:tc>
          <w:tcPr>
            <w:tcW w:w="1527" w:type="dxa"/>
            <w:vAlign w:val="center"/>
          </w:tcPr>
          <w:p w14:paraId="3DEBB879">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班级</w:t>
            </w:r>
          </w:p>
        </w:tc>
        <w:tc>
          <w:tcPr>
            <w:tcW w:w="1475" w:type="dxa"/>
            <w:gridSpan w:val="3"/>
            <w:tcBorders>
              <w:bottom w:val="single" w:color="000000" w:sz="4" w:space="0"/>
            </w:tcBorders>
            <w:vAlign w:val="center"/>
          </w:tcPr>
          <w:p w14:paraId="48CAA553">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网络2302</w:t>
            </w:r>
          </w:p>
        </w:tc>
        <w:tc>
          <w:tcPr>
            <w:tcW w:w="992" w:type="dxa"/>
            <w:vAlign w:val="center"/>
          </w:tcPr>
          <w:p w14:paraId="5178B008">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姓名</w:t>
            </w:r>
          </w:p>
        </w:tc>
        <w:tc>
          <w:tcPr>
            <w:tcW w:w="1188" w:type="dxa"/>
            <w:gridSpan w:val="3"/>
            <w:tcBorders>
              <w:bottom w:val="single" w:color="000000" w:sz="4" w:space="0"/>
            </w:tcBorders>
            <w:vAlign w:val="center"/>
          </w:tcPr>
          <w:p w14:paraId="79A1A47A">
            <w:pPr>
              <w:jc w:val="center"/>
              <w:rPr>
                <w:rFonts w:hint="eastAsia" w:ascii="仿宋" w:hAnsi="仿宋" w:eastAsia="仿宋" w:cs="仿宋"/>
                <w:b w:val="0"/>
                <w:bCs/>
                <w:color w:val="000000" w:themeColor="text1"/>
                <w:sz w:val="32"/>
                <w:szCs w:val="32"/>
                <w14:textFill>
                  <w14:solidFill>
                    <w14:schemeClr w14:val="tx1"/>
                  </w14:solidFill>
                </w14:textFill>
              </w:rPr>
            </w:pPr>
          </w:p>
        </w:tc>
        <w:tc>
          <w:tcPr>
            <w:tcW w:w="927" w:type="dxa"/>
            <w:gridSpan w:val="2"/>
            <w:vAlign w:val="center"/>
          </w:tcPr>
          <w:p w14:paraId="623CB0E0">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学号</w:t>
            </w:r>
          </w:p>
        </w:tc>
        <w:tc>
          <w:tcPr>
            <w:tcW w:w="1446" w:type="dxa"/>
            <w:tcBorders>
              <w:bottom w:val="single" w:color="000000" w:sz="4" w:space="0"/>
            </w:tcBorders>
            <w:vAlign w:val="center"/>
          </w:tcPr>
          <w:p w14:paraId="7777365A">
            <w:pPr>
              <w:jc w:val="center"/>
              <w:rPr>
                <w:rFonts w:hint="eastAsia" w:ascii="仿宋" w:hAnsi="仿宋" w:eastAsia="仿宋" w:cs="仿宋"/>
                <w:b w:val="0"/>
                <w:bCs/>
                <w:color w:val="000000" w:themeColor="text1"/>
                <w:sz w:val="21"/>
                <w:szCs w:val="21"/>
                <w14:textFill>
                  <w14:solidFill>
                    <w14:schemeClr w14:val="tx1"/>
                  </w14:solidFill>
                </w14:textFill>
              </w:rPr>
            </w:pPr>
          </w:p>
        </w:tc>
      </w:tr>
      <w:tr w14:paraId="40756028">
        <w:tblPrEx>
          <w:tblCellMar>
            <w:top w:w="0" w:type="dxa"/>
            <w:left w:w="108" w:type="dxa"/>
            <w:bottom w:w="0" w:type="dxa"/>
            <w:right w:w="108" w:type="dxa"/>
          </w:tblCellMar>
        </w:tblPrEx>
        <w:tc>
          <w:tcPr>
            <w:tcW w:w="1527" w:type="dxa"/>
            <w:vAlign w:val="center"/>
          </w:tcPr>
          <w:p w14:paraId="2550258A">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班级</w:t>
            </w:r>
          </w:p>
        </w:tc>
        <w:tc>
          <w:tcPr>
            <w:tcW w:w="1475" w:type="dxa"/>
            <w:gridSpan w:val="3"/>
            <w:tcBorders>
              <w:bottom w:val="single" w:color="000000" w:sz="4" w:space="0"/>
            </w:tcBorders>
            <w:vAlign w:val="center"/>
          </w:tcPr>
          <w:p w14:paraId="6DA0F001">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网络2302</w:t>
            </w:r>
          </w:p>
        </w:tc>
        <w:tc>
          <w:tcPr>
            <w:tcW w:w="992" w:type="dxa"/>
            <w:vAlign w:val="center"/>
          </w:tcPr>
          <w:p w14:paraId="75128A3D">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姓名</w:t>
            </w:r>
          </w:p>
        </w:tc>
        <w:tc>
          <w:tcPr>
            <w:tcW w:w="1188" w:type="dxa"/>
            <w:gridSpan w:val="3"/>
            <w:tcBorders>
              <w:bottom w:val="single" w:color="000000" w:sz="4" w:space="0"/>
            </w:tcBorders>
            <w:vAlign w:val="center"/>
          </w:tcPr>
          <w:p w14:paraId="174F66A8">
            <w:pPr>
              <w:jc w:val="center"/>
              <w:rPr>
                <w:rFonts w:hint="eastAsia" w:ascii="仿宋" w:hAnsi="仿宋" w:eastAsia="仿宋" w:cs="仿宋"/>
                <w:b w:val="0"/>
                <w:bCs/>
                <w:color w:val="000000" w:themeColor="text1"/>
                <w:sz w:val="32"/>
                <w:szCs w:val="32"/>
                <w14:textFill>
                  <w14:solidFill>
                    <w14:schemeClr w14:val="tx1"/>
                  </w14:solidFill>
                </w14:textFill>
              </w:rPr>
            </w:pPr>
          </w:p>
        </w:tc>
        <w:tc>
          <w:tcPr>
            <w:tcW w:w="927" w:type="dxa"/>
            <w:gridSpan w:val="2"/>
            <w:vAlign w:val="center"/>
          </w:tcPr>
          <w:p w14:paraId="0424993F">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学号</w:t>
            </w:r>
          </w:p>
        </w:tc>
        <w:tc>
          <w:tcPr>
            <w:tcW w:w="1446" w:type="dxa"/>
            <w:tcBorders>
              <w:bottom w:val="single" w:color="000000" w:sz="4" w:space="0"/>
            </w:tcBorders>
            <w:vAlign w:val="center"/>
          </w:tcPr>
          <w:p w14:paraId="3946E91B">
            <w:pPr>
              <w:jc w:val="center"/>
              <w:rPr>
                <w:rFonts w:hint="eastAsia" w:ascii="仿宋" w:hAnsi="仿宋" w:eastAsia="仿宋" w:cs="仿宋"/>
                <w:b w:val="0"/>
                <w:bCs/>
                <w:color w:val="000000" w:themeColor="text1"/>
                <w:sz w:val="21"/>
                <w:szCs w:val="21"/>
                <w14:textFill>
                  <w14:solidFill>
                    <w14:schemeClr w14:val="tx1"/>
                  </w14:solidFill>
                </w14:textFill>
              </w:rPr>
            </w:pPr>
          </w:p>
        </w:tc>
      </w:tr>
      <w:tr w14:paraId="2AF451BF">
        <w:tblPrEx>
          <w:tblCellMar>
            <w:top w:w="0" w:type="dxa"/>
            <w:left w:w="108" w:type="dxa"/>
            <w:bottom w:w="0" w:type="dxa"/>
            <w:right w:w="108" w:type="dxa"/>
          </w:tblCellMar>
        </w:tblPrEx>
        <w:tc>
          <w:tcPr>
            <w:tcW w:w="1527" w:type="dxa"/>
            <w:vAlign w:val="center"/>
          </w:tcPr>
          <w:p w14:paraId="0C287D6D">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班级</w:t>
            </w:r>
          </w:p>
        </w:tc>
        <w:tc>
          <w:tcPr>
            <w:tcW w:w="1475" w:type="dxa"/>
            <w:gridSpan w:val="3"/>
            <w:tcBorders>
              <w:bottom w:val="single" w:color="000000" w:sz="4" w:space="0"/>
            </w:tcBorders>
            <w:vAlign w:val="center"/>
          </w:tcPr>
          <w:p w14:paraId="5C973304">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网络2302</w:t>
            </w:r>
          </w:p>
        </w:tc>
        <w:tc>
          <w:tcPr>
            <w:tcW w:w="992" w:type="dxa"/>
            <w:vAlign w:val="center"/>
          </w:tcPr>
          <w:p w14:paraId="33A1BB3A">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姓名</w:t>
            </w:r>
          </w:p>
        </w:tc>
        <w:tc>
          <w:tcPr>
            <w:tcW w:w="1188" w:type="dxa"/>
            <w:gridSpan w:val="3"/>
            <w:tcBorders>
              <w:bottom w:val="single" w:color="000000" w:sz="4" w:space="0"/>
            </w:tcBorders>
            <w:vAlign w:val="center"/>
          </w:tcPr>
          <w:p w14:paraId="521D96F4">
            <w:pPr>
              <w:jc w:val="center"/>
              <w:rPr>
                <w:rFonts w:hint="eastAsia" w:ascii="仿宋" w:hAnsi="仿宋" w:eastAsia="仿宋" w:cs="仿宋"/>
                <w:b w:val="0"/>
                <w:bCs/>
                <w:color w:val="000000" w:themeColor="text1"/>
                <w:sz w:val="32"/>
                <w:szCs w:val="32"/>
                <w14:textFill>
                  <w14:solidFill>
                    <w14:schemeClr w14:val="tx1"/>
                  </w14:solidFill>
                </w14:textFill>
              </w:rPr>
            </w:pPr>
          </w:p>
        </w:tc>
        <w:tc>
          <w:tcPr>
            <w:tcW w:w="927" w:type="dxa"/>
            <w:gridSpan w:val="2"/>
            <w:vAlign w:val="center"/>
          </w:tcPr>
          <w:p w14:paraId="49F54B69">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学号</w:t>
            </w:r>
          </w:p>
        </w:tc>
        <w:tc>
          <w:tcPr>
            <w:tcW w:w="1446" w:type="dxa"/>
            <w:tcBorders>
              <w:bottom w:val="single" w:color="000000" w:sz="4" w:space="0"/>
            </w:tcBorders>
            <w:vAlign w:val="center"/>
          </w:tcPr>
          <w:p w14:paraId="71A30618">
            <w:pPr>
              <w:jc w:val="center"/>
              <w:rPr>
                <w:rFonts w:hint="eastAsia" w:ascii="仿宋" w:hAnsi="仿宋" w:eastAsia="仿宋" w:cs="仿宋"/>
                <w:b w:val="0"/>
                <w:bCs/>
                <w:color w:val="000000" w:themeColor="text1"/>
                <w:sz w:val="21"/>
                <w:szCs w:val="21"/>
                <w14:textFill>
                  <w14:solidFill>
                    <w14:schemeClr w14:val="tx1"/>
                  </w14:solidFill>
                </w14:textFill>
              </w:rPr>
            </w:pPr>
          </w:p>
        </w:tc>
      </w:tr>
      <w:tr w14:paraId="6445FA0B">
        <w:tblPrEx>
          <w:tblCellMar>
            <w:top w:w="0" w:type="dxa"/>
            <w:left w:w="108" w:type="dxa"/>
            <w:bottom w:w="0" w:type="dxa"/>
            <w:right w:w="108" w:type="dxa"/>
          </w:tblCellMar>
        </w:tblPrEx>
        <w:tc>
          <w:tcPr>
            <w:tcW w:w="1527" w:type="dxa"/>
            <w:vAlign w:val="center"/>
          </w:tcPr>
          <w:p w14:paraId="14DF17EA">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班级</w:t>
            </w:r>
          </w:p>
        </w:tc>
        <w:tc>
          <w:tcPr>
            <w:tcW w:w="1475" w:type="dxa"/>
            <w:gridSpan w:val="3"/>
            <w:tcBorders>
              <w:bottom w:val="single" w:color="000000" w:sz="4" w:space="0"/>
            </w:tcBorders>
            <w:vAlign w:val="center"/>
          </w:tcPr>
          <w:p w14:paraId="091B7595">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网络2302</w:t>
            </w:r>
          </w:p>
        </w:tc>
        <w:tc>
          <w:tcPr>
            <w:tcW w:w="992" w:type="dxa"/>
            <w:vAlign w:val="center"/>
          </w:tcPr>
          <w:p w14:paraId="55F0147E">
            <w:pPr>
              <w:jc w:val="center"/>
              <w:rPr>
                <w:rFonts w:hint="eastAsia" w:ascii="仿宋" w:hAnsi="仿宋" w:eastAsia="仿宋" w:cs="仿宋"/>
                <w:b w:val="0"/>
                <w:bCs/>
                <w:color w:val="000000" w:themeColor="text1"/>
                <w:sz w:val="28"/>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姓名</w:t>
            </w:r>
          </w:p>
        </w:tc>
        <w:tc>
          <w:tcPr>
            <w:tcW w:w="1188" w:type="dxa"/>
            <w:gridSpan w:val="3"/>
            <w:tcBorders>
              <w:bottom w:val="single" w:color="000000" w:sz="4" w:space="0"/>
            </w:tcBorders>
            <w:vAlign w:val="center"/>
          </w:tcPr>
          <w:p w14:paraId="744363BF">
            <w:pPr>
              <w:jc w:val="center"/>
              <w:rPr>
                <w:rFonts w:hint="eastAsia" w:ascii="仿宋" w:hAnsi="仿宋" w:eastAsia="仿宋" w:cs="仿宋"/>
                <w:b w:val="0"/>
                <w:bCs/>
                <w:color w:val="000000" w:themeColor="text1"/>
                <w:sz w:val="32"/>
                <w:szCs w:val="32"/>
                <w14:textFill>
                  <w14:solidFill>
                    <w14:schemeClr w14:val="tx1"/>
                  </w14:solidFill>
                </w14:textFill>
              </w:rPr>
            </w:pPr>
          </w:p>
        </w:tc>
        <w:tc>
          <w:tcPr>
            <w:tcW w:w="927" w:type="dxa"/>
            <w:gridSpan w:val="2"/>
            <w:vAlign w:val="center"/>
          </w:tcPr>
          <w:p w14:paraId="719D9DEC">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28"/>
                <w:szCs w:val="32"/>
                <w14:textFill>
                  <w14:solidFill>
                    <w14:schemeClr w14:val="tx1"/>
                  </w14:solidFill>
                </w14:textFill>
              </w:rPr>
              <w:t>学号</w:t>
            </w:r>
          </w:p>
        </w:tc>
        <w:tc>
          <w:tcPr>
            <w:tcW w:w="1446" w:type="dxa"/>
            <w:tcBorders>
              <w:bottom w:val="single" w:color="000000" w:sz="4" w:space="0"/>
            </w:tcBorders>
            <w:vAlign w:val="center"/>
          </w:tcPr>
          <w:p w14:paraId="5278E12C">
            <w:pPr>
              <w:jc w:val="center"/>
              <w:rPr>
                <w:rFonts w:hint="eastAsia" w:ascii="仿宋" w:hAnsi="仿宋" w:eastAsia="仿宋" w:cs="仿宋"/>
                <w:b w:val="0"/>
                <w:bCs/>
                <w:color w:val="000000" w:themeColor="text1"/>
                <w:sz w:val="21"/>
                <w:szCs w:val="21"/>
                <w14:textFill>
                  <w14:solidFill>
                    <w14:schemeClr w14:val="tx1"/>
                  </w14:solidFill>
                </w14:textFill>
              </w:rPr>
            </w:pPr>
          </w:p>
        </w:tc>
      </w:tr>
      <w:tr w14:paraId="5AB800FB">
        <w:tblPrEx>
          <w:tblCellMar>
            <w:top w:w="0" w:type="dxa"/>
            <w:left w:w="108" w:type="dxa"/>
            <w:bottom w:w="0" w:type="dxa"/>
            <w:right w:w="108" w:type="dxa"/>
          </w:tblCellMar>
        </w:tblPrEx>
        <w:tc>
          <w:tcPr>
            <w:tcW w:w="1527" w:type="dxa"/>
            <w:vAlign w:val="center"/>
          </w:tcPr>
          <w:p w14:paraId="0240801E">
            <w:pPr>
              <w:jc w:val="center"/>
              <w:rPr>
                <w:rFonts w:ascii="宋体" w:hAnsi="宋体" w:eastAsia="宋体"/>
                <w:color w:val="000000" w:themeColor="text1"/>
                <w:sz w:val="28"/>
                <w14:textFill>
                  <w14:solidFill>
                    <w14:schemeClr w14:val="tx1"/>
                  </w14:solidFill>
                </w14:textFill>
              </w:rPr>
            </w:pPr>
          </w:p>
        </w:tc>
        <w:tc>
          <w:tcPr>
            <w:tcW w:w="2477" w:type="dxa"/>
            <w:gridSpan w:val="5"/>
            <w:tcBorders>
              <w:bottom w:val="single" w:color="000000" w:sz="4" w:space="0"/>
            </w:tcBorders>
            <w:vAlign w:val="center"/>
          </w:tcPr>
          <w:p w14:paraId="45310ED6">
            <w:pPr>
              <w:jc w:val="center"/>
              <w:rPr>
                <w:rFonts w:hint="eastAsia" w:ascii="仿宋" w:hAnsi="仿宋" w:eastAsia="仿宋" w:cs="仿宋"/>
                <w:b w:val="0"/>
                <w:bCs/>
                <w:color w:val="000000" w:themeColor="text1"/>
                <w:sz w:val="28"/>
                <w:szCs w:val="28"/>
                <w:lang w:val="en-US" w:eastAsia="zh-CN"/>
                <w14:textFill>
                  <w14:solidFill>
                    <w14:schemeClr w14:val="tx1"/>
                  </w14:solidFill>
                </w14:textFill>
              </w:rPr>
            </w:pPr>
          </w:p>
        </w:tc>
        <w:tc>
          <w:tcPr>
            <w:tcW w:w="1744" w:type="dxa"/>
            <w:gridSpan w:val="3"/>
            <w:tcBorders>
              <w:top w:val="single" w:color="000000" w:sz="4" w:space="0"/>
            </w:tcBorders>
            <w:vAlign w:val="center"/>
          </w:tcPr>
          <w:p w14:paraId="088214C0">
            <w:pPr>
              <w:jc w:val="center"/>
              <w:rPr>
                <w:rFonts w:ascii="宋体" w:hAnsi="宋体" w:eastAsia="宋体"/>
                <w:color w:val="000000" w:themeColor="text1"/>
                <w:sz w:val="28"/>
                <w14:textFill>
                  <w14:solidFill>
                    <w14:schemeClr w14:val="tx1"/>
                  </w14:solidFill>
                </w14:textFill>
              </w:rPr>
            </w:pPr>
          </w:p>
        </w:tc>
        <w:tc>
          <w:tcPr>
            <w:tcW w:w="1807" w:type="dxa"/>
            <w:gridSpan w:val="2"/>
            <w:tcBorders>
              <w:top w:val="single" w:color="000000" w:sz="4" w:space="0"/>
              <w:bottom w:val="single" w:color="000000" w:sz="4" w:space="0"/>
            </w:tcBorders>
            <w:vAlign w:val="center"/>
          </w:tcPr>
          <w:p w14:paraId="14A06FC6">
            <w:pPr>
              <w:rPr>
                <w:rFonts w:hint="eastAsia" w:ascii="仿宋" w:hAnsi="仿宋" w:eastAsia="仿宋" w:cs="仿宋"/>
                <w:b w:val="0"/>
                <w:bCs/>
                <w:color w:val="000000" w:themeColor="text1"/>
                <w:sz w:val="32"/>
                <w:szCs w:val="32"/>
                <w14:textFill>
                  <w14:solidFill>
                    <w14:schemeClr w14:val="tx1"/>
                  </w14:solidFill>
                </w14:textFill>
              </w:rPr>
            </w:pPr>
          </w:p>
        </w:tc>
      </w:tr>
      <w:tr w14:paraId="693879A1">
        <w:tblPrEx>
          <w:tblCellMar>
            <w:top w:w="0" w:type="dxa"/>
            <w:left w:w="108" w:type="dxa"/>
            <w:bottom w:w="0" w:type="dxa"/>
            <w:right w:w="108" w:type="dxa"/>
          </w:tblCellMar>
        </w:tblPrEx>
        <w:trPr>
          <w:trHeight w:val="658" w:hRule="atLeast"/>
        </w:trPr>
        <w:tc>
          <w:tcPr>
            <w:tcW w:w="1527" w:type="dxa"/>
            <w:vAlign w:val="center"/>
          </w:tcPr>
          <w:p w14:paraId="4572FB86">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成绩评定</w:t>
            </w:r>
          </w:p>
        </w:tc>
        <w:tc>
          <w:tcPr>
            <w:tcW w:w="1350" w:type="dxa"/>
            <w:gridSpan w:val="2"/>
            <w:tcBorders>
              <w:bottom w:val="single" w:color="000000" w:sz="4" w:space="0"/>
            </w:tcBorders>
            <w:vAlign w:val="center"/>
          </w:tcPr>
          <w:p w14:paraId="67281E6A">
            <w:pPr>
              <w:jc w:val="center"/>
              <w:rPr>
                <w:rFonts w:hint="eastAsia" w:ascii="仿宋" w:hAnsi="仿宋" w:eastAsia="仿宋" w:cs="仿宋"/>
                <w:b w:val="0"/>
                <w:bCs/>
                <w:color w:val="000000" w:themeColor="text1"/>
                <w:sz w:val="32"/>
                <w:szCs w:val="32"/>
                <w14:textFill>
                  <w14:solidFill>
                    <w14:schemeClr w14:val="tx1"/>
                  </w14:solidFill>
                </w14:textFill>
              </w:rPr>
            </w:pPr>
          </w:p>
        </w:tc>
        <w:tc>
          <w:tcPr>
            <w:tcW w:w="2237" w:type="dxa"/>
            <w:gridSpan w:val="4"/>
            <w:vAlign w:val="center"/>
          </w:tcPr>
          <w:p w14:paraId="0923C771">
            <w:pPr>
              <w:jc w:val="center"/>
              <w:rPr>
                <w:rFonts w:hint="eastAsia" w:ascii="仿宋" w:hAnsi="仿宋" w:eastAsia="仿宋" w:cs="仿宋"/>
                <w:b w:val="0"/>
                <w:bCs/>
                <w:color w:val="000000" w:themeColor="text1"/>
                <w:sz w:val="32"/>
                <w:szCs w:val="32"/>
                <w14:textFill>
                  <w14:solidFill>
                    <w14:schemeClr w14:val="tx1"/>
                  </w14:solidFill>
                </w14:textFill>
              </w:rPr>
            </w:pPr>
            <w:r>
              <w:rPr>
                <w:rFonts w:hint="eastAsia" w:ascii="仿宋" w:hAnsi="仿宋" w:eastAsia="仿宋" w:cs="仿宋"/>
                <w:b w:val="0"/>
                <w:bCs/>
                <w:color w:val="000000" w:themeColor="text1"/>
                <w:sz w:val="32"/>
                <w:szCs w:val="32"/>
                <w14:textFill>
                  <w14:solidFill>
                    <w14:schemeClr w14:val="tx1"/>
                  </w14:solidFill>
                </w14:textFill>
              </w:rPr>
              <w:t>指导教师签名</w:t>
            </w:r>
          </w:p>
        </w:tc>
        <w:tc>
          <w:tcPr>
            <w:tcW w:w="2441" w:type="dxa"/>
            <w:gridSpan w:val="4"/>
            <w:tcBorders>
              <w:top w:val="single" w:color="000000" w:sz="4" w:space="0"/>
              <w:bottom w:val="single" w:color="000000" w:sz="4" w:space="0"/>
            </w:tcBorders>
            <w:vAlign w:val="center"/>
          </w:tcPr>
          <w:p w14:paraId="3CA6E1FD">
            <w:pPr>
              <w:jc w:val="center"/>
              <w:rPr>
                <w:rFonts w:hint="eastAsia" w:ascii="仿宋" w:hAnsi="仿宋" w:eastAsia="仿宋" w:cs="仿宋"/>
                <w:b w:val="0"/>
                <w:bCs/>
                <w:color w:val="000000" w:themeColor="text1"/>
                <w:sz w:val="32"/>
                <w:szCs w:val="32"/>
                <w14:textFill>
                  <w14:solidFill>
                    <w14:schemeClr w14:val="tx1"/>
                  </w14:solidFill>
                </w14:textFill>
              </w:rPr>
            </w:pPr>
          </w:p>
        </w:tc>
      </w:tr>
    </w:tbl>
    <w:p w14:paraId="44A8DED8">
      <w:pPr>
        <w:jc w:val="center"/>
      </w:pPr>
      <w:r>
        <w:rPr>
          <w:color w:val="000000" w:themeColor="text1"/>
          <w14:textFill>
            <w14:solidFill>
              <w14:schemeClr w14:val="tx1"/>
            </w14:solidFill>
          </w14:textFill>
        </w:rPr>
        <w:br w:type="page"/>
      </w:r>
      <w:r>
        <w:rPr>
          <w:rFonts w:ascii="黑体" w:hAnsi="黑体" w:eastAsia="黑体"/>
          <w:b/>
          <w:sz w:val="36"/>
        </w:rPr>
        <w:t>目  录</w:t>
      </w:r>
    </w:p>
    <w:p w14:paraId="78ACED17">
      <w:pPr>
        <w:pStyle w:val="26"/>
        <w:tabs>
          <w:tab w:val="right" w:leader="dot" w:pos="8646"/>
        </w:tabs>
      </w:pPr>
      <w:r>
        <w:fldChar w:fldCharType="begin"/>
      </w:r>
      <w:r>
        <w:instrText xml:space="preserve">TOC \o "1-2" \h \z \u</w:instrText>
      </w:r>
      <w:r>
        <w:fldChar w:fldCharType="separate"/>
      </w:r>
      <w:r>
        <w:fldChar w:fldCharType="begin"/>
      </w:r>
      <w:r>
        <w:instrText xml:space="preserve"> HYPERLINK \l _Toc28956 </w:instrText>
      </w:r>
      <w:r>
        <w:fldChar w:fldCharType="separate"/>
      </w:r>
      <w:r>
        <w:rPr>
          <w:rFonts w:ascii="Times New Roman" w:hAnsi="Times New Roman" w:eastAsia="黑体"/>
        </w:rPr>
        <w:t>一、设计背景与意义</w:t>
      </w:r>
      <w:r>
        <w:tab/>
      </w:r>
      <w:r>
        <w:fldChar w:fldCharType="begin"/>
      </w:r>
      <w:r>
        <w:instrText xml:space="preserve"> PAGEREF _Toc28956 \h </w:instrText>
      </w:r>
      <w:r>
        <w:fldChar w:fldCharType="separate"/>
      </w:r>
      <w:r>
        <w:t>3</w:t>
      </w:r>
      <w:r>
        <w:fldChar w:fldCharType="end"/>
      </w:r>
      <w:r>
        <w:fldChar w:fldCharType="end"/>
      </w:r>
    </w:p>
    <w:p w14:paraId="34797908">
      <w:pPr>
        <w:pStyle w:val="26"/>
        <w:tabs>
          <w:tab w:val="right" w:leader="dot" w:pos="8646"/>
        </w:tabs>
      </w:pPr>
      <w:r>
        <w:fldChar w:fldCharType="begin"/>
      </w:r>
      <w:r>
        <w:instrText xml:space="preserve"> HYPERLINK \l _Toc28096 </w:instrText>
      </w:r>
      <w:r>
        <w:fldChar w:fldCharType="separate"/>
      </w:r>
      <w:r>
        <w:rPr>
          <w:rFonts w:ascii="Times New Roman" w:hAnsi="Times New Roman" w:eastAsia="黑体"/>
        </w:rPr>
        <w:t>二、相关知识与工具</w:t>
      </w:r>
      <w:r>
        <w:tab/>
      </w:r>
      <w:r>
        <w:fldChar w:fldCharType="begin"/>
      </w:r>
      <w:r>
        <w:instrText xml:space="preserve"> PAGEREF _Toc28096 \h </w:instrText>
      </w:r>
      <w:r>
        <w:fldChar w:fldCharType="separate"/>
      </w:r>
      <w:r>
        <w:t>3</w:t>
      </w:r>
      <w:r>
        <w:fldChar w:fldCharType="end"/>
      </w:r>
      <w:r>
        <w:fldChar w:fldCharType="end"/>
      </w:r>
    </w:p>
    <w:p w14:paraId="7E028123">
      <w:pPr>
        <w:pStyle w:val="29"/>
        <w:tabs>
          <w:tab w:val="right" w:leader="dot" w:pos="8646"/>
        </w:tabs>
      </w:pPr>
      <w:r>
        <w:fldChar w:fldCharType="begin"/>
      </w:r>
      <w:r>
        <w:instrText xml:space="preserve"> HYPERLINK \l _Toc26461 </w:instrText>
      </w:r>
      <w:r>
        <w:fldChar w:fldCharType="separate"/>
      </w:r>
      <w:r>
        <w:rPr>
          <w:rFonts w:ascii="Times New Roman" w:hAnsi="Times New Roman" w:eastAsia="黑体"/>
        </w:rPr>
        <w:t>2.1 Snort 3入侵检测系统</w:t>
      </w:r>
      <w:r>
        <w:tab/>
      </w:r>
      <w:r>
        <w:fldChar w:fldCharType="begin"/>
      </w:r>
      <w:r>
        <w:instrText xml:space="preserve"> PAGEREF _Toc26461 \h </w:instrText>
      </w:r>
      <w:r>
        <w:fldChar w:fldCharType="separate"/>
      </w:r>
      <w:r>
        <w:t>3</w:t>
      </w:r>
      <w:r>
        <w:fldChar w:fldCharType="end"/>
      </w:r>
      <w:r>
        <w:fldChar w:fldCharType="end"/>
      </w:r>
    </w:p>
    <w:p w14:paraId="022B45F4">
      <w:pPr>
        <w:pStyle w:val="29"/>
        <w:tabs>
          <w:tab w:val="right" w:leader="dot" w:pos="8646"/>
        </w:tabs>
      </w:pPr>
      <w:r>
        <w:fldChar w:fldCharType="begin"/>
      </w:r>
      <w:r>
        <w:instrText xml:space="preserve"> HYPERLINK \l _Toc731 </w:instrText>
      </w:r>
      <w:r>
        <w:fldChar w:fldCharType="separate"/>
      </w:r>
      <w:r>
        <w:rPr>
          <w:rFonts w:ascii="Times New Roman" w:hAnsi="Times New Roman" w:eastAsia="黑体"/>
        </w:rPr>
        <w:t>2.2 TCP/IP协议与扫描技术原理</w:t>
      </w:r>
      <w:r>
        <w:tab/>
      </w:r>
      <w:r>
        <w:fldChar w:fldCharType="begin"/>
      </w:r>
      <w:r>
        <w:instrText xml:space="preserve"> PAGEREF _Toc731 \h </w:instrText>
      </w:r>
      <w:r>
        <w:fldChar w:fldCharType="separate"/>
      </w:r>
      <w:r>
        <w:t>3</w:t>
      </w:r>
      <w:r>
        <w:fldChar w:fldCharType="end"/>
      </w:r>
      <w:r>
        <w:fldChar w:fldCharType="end"/>
      </w:r>
    </w:p>
    <w:p w14:paraId="72BCD8C1">
      <w:pPr>
        <w:pStyle w:val="29"/>
        <w:tabs>
          <w:tab w:val="right" w:leader="dot" w:pos="8646"/>
        </w:tabs>
      </w:pPr>
      <w:r>
        <w:fldChar w:fldCharType="begin"/>
      </w:r>
      <w:r>
        <w:instrText xml:space="preserve"> HYPERLINK \l _Toc21138 </w:instrText>
      </w:r>
      <w:r>
        <w:fldChar w:fldCharType="separate"/>
      </w:r>
      <w:r>
        <w:rPr>
          <w:rFonts w:ascii="Times New Roman" w:hAnsi="Times New Roman" w:eastAsia="黑体"/>
        </w:rPr>
        <w:t>2.3 HTTP协议攻击原理</w:t>
      </w:r>
      <w:r>
        <w:tab/>
      </w:r>
      <w:r>
        <w:fldChar w:fldCharType="begin"/>
      </w:r>
      <w:r>
        <w:instrText xml:space="preserve"> PAGEREF _Toc21138 \h </w:instrText>
      </w:r>
      <w:r>
        <w:fldChar w:fldCharType="separate"/>
      </w:r>
      <w:r>
        <w:t>4</w:t>
      </w:r>
      <w:r>
        <w:fldChar w:fldCharType="end"/>
      </w:r>
      <w:r>
        <w:fldChar w:fldCharType="end"/>
      </w:r>
    </w:p>
    <w:p w14:paraId="6F2564F5">
      <w:pPr>
        <w:pStyle w:val="29"/>
        <w:tabs>
          <w:tab w:val="right" w:leader="dot" w:pos="8646"/>
        </w:tabs>
      </w:pPr>
      <w:r>
        <w:fldChar w:fldCharType="begin"/>
      </w:r>
      <w:r>
        <w:instrText xml:space="preserve"> HYPERLINK \l _Toc2889 </w:instrText>
      </w:r>
      <w:r>
        <w:fldChar w:fldCharType="separate"/>
      </w:r>
      <w:r>
        <w:rPr>
          <w:rFonts w:ascii="Times New Roman" w:hAnsi="Times New Roman" w:eastAsia="黑体"/>
        </w:rPr>
        <w:t>2.4 实验环境与工具</w:t>
      </w:r>
      <w:r>
        <w:tab/>
      </w:r>
      <w:r>
        <w:fldChar w:fldCharType="begin"/>
      </w:r>
      <w:r>
        <w:instrText xml:space="preserve"> PAGEREF _Toc2889 \h </w:instrText>
      </w:r>
      <w:r>
        <w:fldChar w:fldCharType="separate"/>
      </w:r>
      <w:r>
        <w:t>4</w:t>
      </w:r>
      <w:r>
        <w:fldChar w:fldCharType="end"/>
      </w:r>
      <w:r>
        <w:fldChar w:fldCharType="end"/>
      </w:r>
    </w:p>
    <w:p w14:paraId="7CDD05E8">
      <w:pPr>
        <w:pStyle w:val="26"/>
        <w:tabs>
          <w:tab w:val="right" w:leader="dot" w:pos="8646"/>
        </w:tabs>
      </w:pPr>
      <w:r>
        <w:fldChar w:fldCharType="begin"/>
      </w:r>
      <w:r>
        <w:instrText xml:space="preserve"> HYPERLINK \l _Toc32317 </w:instrText>
      </w:r>
      <w:r>
        <w:fldChar w:fldCharType="separate"/>
      </w:r>
      <w:r>
        <w:rPr>
          <w:rFonts w:ascii="Times New Roman" w:hAnsi="Times New Roman" w:eastAsia="黑体"/>
        </w:rPr>
        <w:t>三、设计与实现</w:t>
      </w:r>
      <w:r>
        <w:tab/>
      </w:r>
      <w:r>
        <w:fldChar w:fldCharType="begin"/>
      </w:r>
      <w:r>
        <w:instrText xml:space="preserve"> PAGEREF _Toc32317 \h </w:instrText>
      </w:r>
      <w:r>
        <w:fldChar w:fldCharType="separate"/>
      </w:r>
      <w:r>
        <w:t>4</w:t>
      </w:r>
      <w:r>
        <w:fldChar w:fldCharType="end"/>
      </w:r>
      <w:r>
        <w:fldChar w:fldCharType="end"/>
      </w:r>
    </w:p>
    <w:p w14:paraId="6B6865C6">
      <w:pPr>
        <w:pStyle w:val="29"/>
        <w:tabs>
          <w:tab w:val="right" w:leader="dot" w:pos="8646"/>
        </w:tabs>
      </w:pPr>
      <w:r>
        <w:fldChar w:fldCharType="begin"/>
      </w:r>
      <w:r>
        <w:instrText xml:space="preserve"> HYPERLINK \l _Toc20489 </w:instrText>
      </w:r>
      <w:r>
        <w:fldChar w:fldCharType="separate"/>
      </w:r>
      <w:r>
        <w:rPr>
          <w:rFonts w:ascii="Times New Roman" w:hAnsi="Times New Roman" w:eastAsia="黑体"/>
        </w:rPr>
        <w:t>3.1 总体设计思路</w:t>
      </w:r>
      <w:r>
        <w:tab/>
      </w:r>
      <w:r>
        <w:fldChar w:fldCharType="begin"/>
      </w:r>
      <w:r>
        <w:instrText xml:space="preserve"> PAGEREF _Toc20489 \h </w:instrText>
      </w:r>
      <w:r>
        <w:fldChar w:fldCharType="separate"/>
      </w:r>
      <w:r>
        <w:t>4</w:t>
      </w:r>
      <w:r>
        <w:fldChar w:fldCharType="end"/>
      </w:r>
      <w:r>
        <w:fldChar w:fldCharType="end"/>
      </w:r>
    </w:p>
    <w:p w14:paraId="3C8E7A62">
      <w:pPr>
        <w:pStyle w:val="29"/>
        <w:tabs>
          <w:tab w:val="right" w:leader="dot" w:pos="8646"/>
        </w:tabs>
      </w:pPr>
      <w:r>
        <w:fldChar w:fldCharType="begin"/>
      </w:r>
      <w:r>
        <w:instrText xml:space="preserve"> HYPERLINK \l _Toc5338 </w:instrText>
      </w:r>
      <w:r>
        <w:fldChar w:fldCharType="separate"/>
      </w:r>
      <w:r>
        <w:rPr>
          <w:rFonts w:ascii="Times New Roman" w:hAnsi="Times New Roman" w:eastAsia="黑体"/>
        </w:rPr>
        <w:t>3.2 网络拓扑结构</w:t>
      </w:r>
      <w:r>
        <w:tab/>
      </w:r>
      <w:r>
        <w:fldChar w:fldCharType="begin"/>
      </w:r>
      <w:r>
        <w:instrText xml:space="preserve"> PAGEREF _Toc5338 \h </w:instrText>
      </w:r>
      <w:r>
        <w:fldChar w:fldCharType="separate"/>
      </w:r>
      <w:r>
        <w:t>5</w:t>
      </w:r>
      <w:r>
        <w:fldChar w:fldCharType="end"/>
      </w:r>
      <w:r>
        <w:fldChar w:fldCharType="end"/>
      </w:r>
    </w:p>
    <w:p w14:paraId="4CC353C6">
      <w:pPr>
        <w:pStyle w:val="29"/>
        <w:tabs>
          <w:tab w:val="right" w:leader="dot" w:pos="8646"/>
        </w:tabs>
      </w:pPr>
      <w:r>
        <w:fldChar w:fldCharType="begin"/>
      </w:r>
      <w:r>
        <w:instrText xml:space="preserve"> HYPERLINK \l _Toc10552 </w:instrText>
      </w:r>
      <w:r>
        <w:fldChar w:fldCharType="separate"/>
      </w:r>
      <w:r>
        <w:rPr>
          <w:rFonts w:ascii="Times New Roman" w:hAnsi="Times New Roman" w:eastAsia="黑体"/>
        </w:rPr>
        <w:t>3.3 规则集详细设计</w:t>
      </w:r>
      <w:r>
        <w:tab/>
      </w:r>
      <w:r>
        <w:fldChar w:fldCharType="begin"/>
      </w:r>
      <w:r>
        <w:instrText xml:space="preserve"> PAGEREF _Toc10552 \h </w:instrText>
      </w:r>
      <w:r>
        <w:fldChar w:fldCharType="separate"/>
      </w:r>
      <w:r>
        <w:t>5</w:t>
      </w:r>
      <w:r>
        <w:fldChar w:fldCharType="end"/>
      </w:r>
      <w:r>
        <w:fldChar w:fldCharType="end"/>
      </w:r>
    </w:p>
    <w:p w14:paraId="62D793B3">
      <w:pPr>
        <w:pStyle w:val="29"/>
        <w:tabs>
          <w:tab w:val="right" w:leader="dot" w:pos="8646"/>
        </w:tabs>
      </w:pPr>
      <w:r>
        <w:fldChar w:fldCharType="begin"/>
      </w:r>
      <w:r>
        <w:instrText xml:space="preserve"> HYPERLINK \l _Toc20319 </w:instrText>
      </w:r>
      <w:r>
        <w:fldChar w:fldCharType="separate"/>
      </w:r>
      <w:r>
        <w:rPr>
          <w:rFonts w:ascii="Times New Roman" w:hAnsi="Times New Roman" w:eastAsia="黑体"/>
        </w:rPr>
        <w:t>3.4 环境搭建与部署</w:t>
      </w:r>
      <w:r>
        <w:tab/>
      </w:r>
      <w:r>
        <w:fldChar w:fldCharType="begin"/>
      </w:r>
      <w:r>
        <w:instrText xml:space="preserve"> PAGEREF _Toc20319 \h </w:instrText>
      </w:r>
      <w:r>
        <w:fldChar w:fldCharType="separate"/>
      </w:r>
      <w:r>
        <w:t>7</w:t>
      </w:r>
      <w:r>
        <w:fldChar w:fldCharType="end"/>
      </w:r>
      <w:r>
        <w:fldChar w:fldCharType="end"/>
      </w:r>
    </w:p>
    <w:p w14:paraId="524F3B88">
      <w:pPr>
        <w:pStyle w:val="26"/>
        <w:tabs>
          <w:tab w:val="right" w:leader="dot" w:pos="8646"/>
        </w:tabs>
      </w:pPr>
      <w:r>
        <w:fldChar w:fldCharType="begin"/>
      </w:r>
      <w:r>
        <w:instrText xml:space="preserve"> HYPERLINK \l _Toc20499 </w:instrText>
      </w:r>
      <w:r>
        <w:fldChar w:fldCharType="separate"/>
      </w:r>
      <w:r>
        <w:rPr>
          <w:rFonts w:ascii="Times New Roman" w:hAnsi="Times New Roman" w:eastAsia="黑体"/>
        </w:rPr>
        <w:t>四、优化点/创新点/改进点</w:t>
      </w:r>
      <w:r>
        <w:tab/>
      </w:r>
      <w:r>
        <w:fldChar w:fldCharType="begin"/>
      </w:r>
      <w:r>
        <w:instrText xml:space="preserve"> PAGEREF _Toc20499 \h </w:instrText>
      </w:r>
      <w:r>
        <w:fldChar w:fldCharType="separate"/>
      </w:r>
      <w:r>
        <w:t>7</w:t>
      </w:r>
      <w:r>
        <w:fldChar w:fldCharType="end"/>
      </w:r>
      <w:r>
        <w:fldChar w:fldCharType="end"/>
      </w:r>
    </w:p>
    <w:p w14:paraId="68A3D39A">
      <w:pPr>
        <w:pStyle w:val="26"/>
        <w:tabs>
          <w:tab w:val="right" w:leader="dot" w:pos="8646"/>
        </w:tabs>
      </w:pPr>
      <w:r>
        <w:fldChar w:fldCharType="begin"/>
      </w:r>
      <w:r>
        <w:instrText xml:space="preserve"> HYPERLINK \l _Toc23981 </w:instrText>
      </w:r>
      <w:r>
        <w:fldChar w:fldCharType="separate"/>
      </w:r>
      <w:r>
        <w:rPr>
          <w:rFonts w:ascii="Times New Roman" w:hAnsi="Times New Roman" w:eastAsia="黑体"/>
        </w:rPr>
        <w:t>五、规则集测试</w:t>
      </w:r>
      <w:r>
        <w:tab/>
      </w:r>
      <w:r>
        <w:fldChar w:fldCharType="begin"/>
      </w:r>
      <w:r>
        <w:instrText xml:space="preserve"> PAGEREF _Toc23981 \h </w:instrText>
      </w:r>
      <w:r>
        <w:fldChar w:fldCharType="separate"/>
      </w:r>
      <w:r>
        <w:t>8</w:t>
      </w:r>
      <w:r>
        <w:fldChar w:fldCharType="end"/>
      </w:r>
      <w:r>
        <w:fldChar w:fldCharType="end"/>
      </w:r>
    </w:p>
    <w:p w14:paraId="2010C6C9">
      <w:pPr>
        <w:pStyle w:val="29"/>
        <w:tabs>
          <w:tab w:val="right" w:leader="dot" w:pos="8646"/>
        </w:tabs>
      </w:pPr>
      <w:r>
        <w:fldChar w:fldCharType="begin"/>
      </w:r>
      <w:r>
        <w:instrText xml:space="preserve"> HYPERLINK \l _Toc2606 </w:instrText>
      </w:r>
      <w:r>
        <w:fldChar w:fldCharType="separate"/>
      </w:r>
      <w:r>
        <w:rPr>
          <w:rFonts w:ascii="Times New Roman" w:hAnsi="Times New Roman" w:eastAsia="黑体"/>
        </w:rPr>
        <w:t>5.1 ICMP攻击测试</w:t>
      </w:r>
      <w:r>
        <w:tab/>
      </w:r>
      <w:r>
        <w:fldChar w:fldCharType="begin"/>
      </w:r>
      <w:r>
        <w:instrText xml:space="preserve"> PAGEREF _Toc2606 \h </w:instrText>
      </w:r>
      <w:r>
        <w:fldChar w:fldCharType="separate"/>
      </w:r>
      <w:r>
        <w:t>8</w:t>
      </w:r>
      <w:r>
        <w:fldChar w:fldCharType="end"/>
      </w:r>
      <w:r>
        <w:fldChar w:fldCharType="end"/>
      </w:r>
    </w:p>
    <w:p w14:paraId="07FCD572">
      <w:pPr>
        <w:pStyle w:val="29"/>
        <w:tabs>
          <w:tab w:val="right" w:leader="dot" w:pos="8646"/>
        </w:tabs>
      </w:pPr>
      <w:r>
        <w:fldChar w:fldCharType="begin"/>
      </w:r>
      <w:r>
        <w:instrText xml:space="preserve"> HYPERLINK \l _Toc14195 </w:instrText>
      </w:r>
      <w:r>
        <w:fldChar w:fldCharType="separate"/>
      </w:r>
      <w:r>
        <w:rPr>
          <w:rFonts w:ascii="Times New Roman" w:hAnsi="Times New Roman" w:eastAsia="黑体"/>
        </w:rPr>
        <w:t>5.2 高级扫描测试</w:t>
      </w:r>
      <w:r>
        <w:tab/>
      </w:r>
      <w:r>
        <w:fldChar w:fldCharType="begin"/>
      </w:r>
      <w:r>
        <w:instrText xml:space="preserve"> PAGEREF _Toc14195 \h </w:instrText>
      </w:r>
      <w:r>
        <w:fldChar w:fldCharType="separate"/>
      </w:r>
      <w:r>
        <w:t>8</w:t>
      </w:r>
      <w:r>
        <w:fldChar w:fldCharType="end"/>
      </w:r>
      <w:r>
        <w:fldChar w:fldCharType="end"/>
      </w:r>
    </w:p>
    <w:p w14:paraId="349AB65B">
      <w:pPr>
        <w:pStyle w:val="29"/>
        <w:tabs>
          <w:tab w:val="right" w:leader="dot" w:pos="8646"/>
        </w:tabs>
      </w:pPr>
      <w:r>
        <w:fldChar w:fldCharType="begin"/>
      </w:r>
      <w:r>
        <w:instrText xml:space="preserve"> HYPERLINK \l _Toc16183 </w:instrText>
      </w:r>
      <w:r>
        <w:fldChar w:fldCharType="separate"/>
      </w:r>
      <w:r>
        <w:rPr>
          <w:rFonts w:ascii="Times New Roman" w:hAnsi="Times New Roman" w:eastAsia="黑体"/>
        </w:rPr>
        <w:t>5.3 HTTP应用层攻击测试</w:t>
      </w:r>
      <w:r>
        <w:tab/>
      </w:r>
      <w:r>
        <w:fldChar w:fldCharType="begin"/>
      </w:r>
      <w:r>
        <w:instrText xml:space="preserve"> PAGEREF _Toc16183 \h </w:instrText>
      </w:r>
      <w:r>
        <w:fldChar w:fldCharType="separate"/>
      </w:r>
      <w:r>
        <w:t>8</w:t>
      </w:r>
      <w:r>
        <w:fldChar w:fldCharType="end"/>
      </w:r>
      <w:r>
        <w:fldChar w:fldCharType="end"/>
      </w:r>
    </w:p>
    <w:p w14:paraId="487AACFC">
      <w:pPr>
        <w:pStyle w:val="29"/>
        <w:tabs>
          <w:tab w:val="right" w:leader="dot" w:pos="8646"/>
        </w:tabs>
      </w:pPr>
      <w:r>
        <w:fldChar w:fldCharType="begin"/>
      </w:r>
      <w:r>
        <w:instrText xml:space="preserve"> HYPERLINK \l _Toc16734 </w:instrText>
      </w:r>
      <w:r>
        <w:fldChar w:fldCharType="separate"/>
      </w:r>
      <w:r>
        <w:rPr>
          <w:rFonts w:ascii="Times New Roman" w:hAnsi="Times New Roman" w:eastAsia="黑体"/>
        </w:rPr>
        <w:t>5.4 基础协议安全测试</w:t>
      </w:r>
      <w:r>
        <w:tab/>
      </w:r>
      <w:r>
        <w:fldChar w:fldCharType="begin"/>
      </w:r>
      <w:r>
        <w:instrText xml:space="preserve"> PAGEREF _Toc16734 \h </w:instrText>
      </w:r>
      <w:r>
        <w:fldChar w:fldCharType="separate"/>
      </w:r>
      <w:r>
        <w:t>9</w:t>
      </w:r>
      <w:r>
        <w:fldChar w:fldCharType="end"/>
      </w:r>
      <w:r>
        <w:fldChar w:fldCharType="end"/>
      </w:r>
    </w:p>
    <w:p w14:paraId="30CC1E7B">
      <w:pPr>
        <w:pStyle w:val="29"/>
        <w:tabs>
          <w:tab w:val="right" w:leader="dot" w:pos="8646"/>
        </w:tabs>
      </w:pPr>
      <w:r>
        <w:fldChar w:fldCharType="begin"/>
      </w:r>
      <w:r>
        <w:instrText xml:space="preserve"> HYPERLINK \l _Toc22017 </w:instrText>
      </w:r>
      <w:r>
        <w:fldChar w:fldCharType="separate"/>
      </w:r>
      <w:r>
        <w:rPr>
          <w:rFonts w:ascii="Times New Roman" w:hAnsi="Times New Roman" w:eastAsia="黑体"/>
        </w:rPr>
        <w:t>5.5 测试结果汇总</w:t>
      </w:r>
      <w:r>
        <w:tab/>
      </w:r>
      <w:r>
        <w:fldChar w:fldCharType="begin"/>
      </w:r>
      <w:r>
        <w:instrText xml:space="preserve"> PAGEREF _Toc22017 \h </w:instrText>
      </w:r>
      <w:r>
        <w:fldChar w:fldCharType="separate"/>
      </w:r>
      <w:r>
        <w:t>9</w:t>
      </w:r>
      <w:r>
        <w:fldChar w:fldCharType="end"/>
      </w:r>
      <w:r>
        <w:fldChar w:fldCharType="end"/>
      </w:r>
    </w:p>
    <w:p w14:paraId="2D4AF1DF">
      <w:pPr>
        <w:pStyle w:val="26"/>
        <w:tabs>
          <w:tab w:val="right" w:leader="dot" w:pos="8646"/>
        </w:tabs>
      </w:pPr>
      <w:r>
        <w:fldChar w:fldCharType="begin"/>
      </w:r>
      <w:r>
        <w:instrText xml:space="preserve"> HYPERLINK \l _Toc20612 </w:instrText>
      </w:r>
      <w:r>
        <w:fldChar w:fldCharType="separate"/>
      </w:r>
      <w:r>
        <w:rPr>
          <w:rFonts w:ascii="Times New Roman" w:hAnsi="Times New Roman" w:eastAsia="黑体"/>
        </w:rPr>
        <w:t>六、结果与分析</w:t>
      </w:r>
      <w:r>
        <w:tab/>
      </w:r>
      <w:r>
        <w:fldChar w:fldCharType="begin"/>
      </w:r>
      <w:r>
        <w:instrText xml:space="preserve"> PAGEREF _Toc20612 \h </w:instrText>
      </w:r>
      <w:r>
        <w:fldChar w:fldCharType="separate"/>
      </w:r>
      <w:r>
        <w:t>10</w:t>
      </w:r>
      <w:r>
        <w:fldChar w:fldCharType="end"/>
      </w:r>
      <w:r>
        <w:fldChar w:fldCharType="end"/>
      </w:r>
    </w:p>
    <w:p w14:paraId="39F2AB2B">
      <w:pPr>
        <w:pStyle w:val="29"/>
        <w:tabs>
          <w:tab w:val="right" w:leader="dot" w:pos="8646"/>
        </w:tabs>
      </w:pPr>
      <w:r>
        <w:fldChar w:fldCharType="begin"/>
      </w:r>
      <w:r>
        <w:instrText xml:space="preserve"> HYPERLINK \l _Toc23206 </w:instrText>
      </w:r>
      <w:r>
        <w:fldChar w:fldCharType="separate"/>
      </w:r>
      <w:r>
        <w:rPr>
          <w:rFonts w:ascii="Times New Roman" w:hAnsi="Times New Roman" w:eastAsia="黑体"/>
        </w:rPr>
        <w:t>6.1 检测效果评估</w:t>
      </w:r>
      <w:r>
        <w:tab/>
      </w:r>
      <w:r>
        <w:fldChar w:fldCharType="begin"/>
      </w:r>
      <w:r>
        <w:instrText xml:space="preserve"> PAGEREF _Toc23206 \h </w:instrText>
      </w:r>
      <w:r>
        <w:fldChar w:fldCharType="separate"/>
      </w:r>
      <w:r>
        <w:t>10</w:t>
      </w:r>
      <w:r>
        <w:fldChar w:fldCharType="end"/>
      </w:r>
      <w:r>
        <w:fldChar w:fldCharType="end"/>
      </w:r>
    </w:p>
    <w:p w14:paraId="5EC0E09D">
      <w:pPr>
        <w:pStyle w:val="29"/>
        <w:tabs>
          <w:tab w:val="right" w:leader="dot" w:pos="8646"/>
        </w:tabs>
      </w:pPr>
      <w:r>
        <w:fldChar w:fldCharType="begin"/>
      </w:r>
      <w:r>
        <w:instrText xml:space="preserve"> HYPERLINK \l _Toc9837 </w:instrText>
      </w:r>
      <w:r>
        <w:fldChar w:fldCharType="separate"/>
      </w:r>
      <w:r>
        <w:rPr>
          <w:rFonts w:ascii="Times New Roman" w:hAnsi="Times New Roman" w:eastAsia="黑体"/>
        </w:rPr>
        <w:t>6.2 规则性能与误报分析</w:t>
      </w:r>
      <w:r>
        <w:tab/>
      </w:r>
      <w:r>
        <w:fldChar w:fldCharType="begin"/>
      </w:r>
      <w:r>
        <w:instrText xml:space="preserve"> PAGEREF _Toc9837 \h </w:instrText>
      </w:r>
      <w:r>
        <w:fldChar w:fldCharType="separate"/>
      </w:r>
      <w:r>
        <w:t>10</w:t>
      </w:r>
      <w:r>
        <w:fldChar w:fldCharType="end"/>
      </w:r>
      <w:r>
        <w:fldChar w:fldCharType="end"/>
      </w:r>
    </w:p>
    <w:p w14:paraId="644AE582">
      <w:pPr>
        <w:pStyle w:val="29"/>
        <w:tabs>
          <w:tab w:val="right" w:leader="dot" w:pos="8646"/>
        </w:tabs>
      </w:pPr>
      <w:r>
        <w:fldChar w:fldCharType="begin"/>
      </w:r>
      <w:r>
        <w:instrText xml:space="preserve"> HYPERLINK \l _Toc16132 </w:instrText>
      </w:r>
      <w:r>
        <w:fldChar w:fldCharType="separate"/>
      </w:r>
      <w:r>
        <w:rPr>
          <w:rFonts w:ascii="Times New Roman" w:hAnsi="Times New Roman" w:eastAsia="黑体"/>
        </w:rPr>
        <w:t>6.3 存在的不足与改进方向</w:t>
      </w:r>
      <w:r>
        <w:tab/>
      </w:r>
      <w:r>
        <w:fldChar w:fldCharType="begin"/>
      </w:r>
      <w:r>
        <w:instrText xml:space="preserve"> PAGEREF _Toc16132 \h </w:instrText>
      </w:r>
      <w:r>
        <w:fldChar w:fldCharType="separate"/>
      </w:r>
      <w:r>
        <w:t>11</w:t>
      </w:r>
      <w:r>
        <w:fldChar w:fldCharType="end"/>
      </w:r>
      <w:r>
        <w:fldChar w:fldCharType="end"/>
      </w:r>
    </w:p>
    <w:p w14:paraId="5A917B1C">
      <w:pPr>
        <w:pStyle w:val="26"/>
        <w:tabs>
          <w:tab w:val="right" w:leader="dot" w:pos="8646"/>
        </w:tabs>
      </w:pPr>
      <w:r>
        <w:fldChar w:fldCharType="begin"/>
      </w:r>
      <w:r>
        <w:instrText xml:space="preserve"> HYPERLINK \l _Toc4651 </w:instrText>
      </w:r>
      <w:r>
        <w:fldChar w:fldCharType="separate"/>
      </w:r>
      <w:r>
        <w:rPr>
          <w:rFonts w:ascii="Times New Roman" w:hAnsi="Times New Roman" w:eastAsia="黑体"/>
        </w:rPr>
        <w:t>七、致谢</w:t>
      </w:r>
      <w:r>
        <w:tab/>
      </w:r>
      <w:r>
        <w:fldChar w:fldCharType="begin"/>
      </w:r>
      <w:r>
        <w:instrText xml:space="preserve"> PAGEREF _Toc4651 \h </w:instrText>
      </w:r>
      <w:r>
        <w:fldChar w:fldCharType="separate"/>
      </w:r>
      <w:r>
        <w:t>11</w:t>
      </w:r>
      <w:r>
        <w:fldChar w:fldCharType="end"/>
      </w:r>
      <w:r>
        <w:fldChar w:fldCharType="end"/>
      </w:r>
    </w:p>
    <w:p w14:paraId="635D3390">
      <w:pPr>
        <w:pStyle w:val="26"/>
        <w:tabs>
          <w:tab w:val="right" w:leader="dot" w:pos="8646"/>
        </w:tabs>
      </w:pPr>
      <w:r>
        <w:fldChar w:fldCharType="begin"/>
      </w:r>
      <w:r>
        <w:instrText xml:space="preserve"> HYPERLINK \l _Toc20452 </w:instrText>
      </w:r>
      <w:r>
        <w:fldChar w:fldCharType="separate"/>
      </w:r>
      <w:r>
        <w:rPr>
          <w:rFonts w:ascii="Times New Roman" w:hAnsi="Times New Roman" w:eastAsia="黑体"/>
        </w:rPr>
        <w:t>八、参考文献</w:t>
      </w:r>
      <w:r>
        <w:tab/>
      </w:r>
      <w:r>
        <w:fldChar w:fldCharType="begin"/>
      </w:r>
      <w:r>
        <w:instrText xml:space="preserve"> PAGEREF _Toc20452 \h </w:instrText>
      </w:r>
      <w:r>
        <w:fldChar w:fldCharType="separate"/>
      </w:r>
      <w:r>
        <w:t>11</w:t>
      </w:r>
      <w:r>
        <w:fldChar w:fldCharType="end"/>
      </w:r>
      <w:r>
        <w:fldChar w:fldCharType="end"/>
      </w:r>
    </w:p>
    <w:p w14:paraId="03998BAC">
      <w:r>
        <w:fldChar w:fldCharType="end"/>
      </w:r>
    </w:p>
    <w:p w14:paraId="16BBA6DE"/>
    <w:p w14:paraId="775358CE">
      <w:r>
        <w:br w:type="page"/>
      </w:r>
    </w:p>
    <w:p w14:paraId="183C30C6">
      <w:pPr>
        <w:pStyle w:val="3"/>
        <w:spacing w:line="360" w:lineRule="exact"/>
      </w:pPr>
      <w:bookmarkStart w:id="0" w:name="_Toc28956"/>
      <w:r>
        <w:rPr>
          <w:rFonts w:ascii="Times New Roman" w:hAnsi="Times New Roman" w:eastAsia="黑体"/>
          <w:b/>
          <w:sz w:val="32"/>
        </w:rPr>
        <w:t>一、设计背景与意义</w:t>
      </w:r>
      <w:bookmarkEnd w:id="0"/>
    </w:p>
    <w:p w14:paraId="4C07926A">
      <w:pPr>
        <w:spacing w:line="360" w:lineRule="exact"/>
        <w:ind w:firstLine="480"/>
        <w:jc w:val="both"/>
      </w:pPr>
      <w:r>
        <w:rPr>
          <w:rFonts w:ascii="Times New Roman" w:hAnsi="Times New Roman" w:eastAsia="宋体"/>
          <w:sz w:val="24"/>
        </w:rPr>
        <w:t>随着高校信息化建设的持续推进，校园网络环境日趋复杂，各类网络攻击手段也在不断进化。传统的端口扫描和简单的Web攻击检测已难以满足日益增长的安全需求，攻击者越来越多地使用隐蔽扫描技术、HTTP协议层攻击手段来绕过传统的检测机制[1]。例如，TCP零窗口扫描利用TCP窗口字段为0的异常数据包进行隐蔽探测，HTTP请求走私攻击利用HTTP协议解析差异实施缓存投毒和安全绕过，SQL注入与XSS跨站脚本攻击则直接威胁Web应用的数据安全，这些攻击手段在现网环境中具有极高的隐蔽性和危害性。</w:t>
      </w:r>
    </w:p>
    <w:p w14:paraId="42B3516C">
      <w:pPr>
        <w:spacing w:line="360" w:lineRule="exact"/>
        <w:ind w:firstLine="480"/>
        <w:jc w:val="both"/>
      </w:pPr>
      <w:r>
        <w:rPr>
          <w:rFonts w:ascii="Times New Roman" w:hAnsi="Times New Roman" w:eastAsia="宋体"/>
          <w:sz w:val="24"/>
        </w:rPr>
        <w:t>本课题选择围绕"高级网络扫描技术与HTTP应用层攻击检测"这一方向设计Snort 3规则集，主要基于以下考虑：第一，高级扫描技术（如零窗口扫描、端口0探测、低TTL路由追踪、SYN半开扫描）能够有效规避传统的基于端口扫描频率统计的检测机制，需要针对性的规则进行识别；第二，HTTP应用层攻击（如请求走私、TRACE跨站追踪、SQL注入、XSS脚本注入）直接针对Web业务逻辑，对校园网中的各类Web系统构成严重威胁[2]；第三，基础协议安全检测（如SSH远程管理、SMB共享枚举、RDP远程桌面、DNS信息搜集）覆盖了内网横向移动的典型路径，是校园网纵深防御的重要组成部分。</w:t>
      </w:r>
    </w:p>
    <w:p w14:paraId="3EF1C5D5">
      <w:pPr>
        <w:spacing w:line="360" w:lineRule="exact"/>
        <w:ind w:firstLine="480"/>
        <w:jc w:val="both"/>
      </w:pPr>
      <w:r>
        <w:rPr>
          <w:rFonts w:ascii="Times New Roman" w:hAnsi="Times New Roman" w:eastAsia="宋体"/>
          <w:sz w:val="24"/>
        </w:rPr>
        <w:t>通过本课题的设计与实现，旨在构建一套覆盖"高级扫描探测—HTTP应用层攻击—基础协议安全检测"三个维度的Snort 3规则集，填补传统规则集在上述领域的检测空白，为校园网安全防护提供更加全面的入侵检测能力[3]。</w:t>
      </w:r>
    </w:p>
    <w:p w14:paraId="04B80098">
      <w:pPr>
        <w:pStyle w:val="3"/>
        <w:spacing w:line="360" w:lineRule="exact"/>
      </w:pPr>
      <w:bookmarkStart w:id="1" w:name="_Toc28096"/>
      <w:r>
        <w:rPr>
          <w:rFonts w:ascii="Times New Roman" w:hAnsi="Times New Roman" w:eastAsia="黑体"/>
          <w:b/>
          <w:sz w:val="32"/>
        </w:rPr>
        <w:t>二、相关知识与工具</w:t>
      </w:r>
      <w:bookmarkEnd w:id="1"/>
    </w:p>
    <w:p w14:paraId="328D9008">
      <w:pPr>
        <w:pStyle w:val="4"/>
        <w:spacing w:line="360" w:lineRule="exact"/>
      </w:pPr>
      <w:bookmarkStart w:id="2" w:name="_Toc26461"/>
      <w:r>
        <w:rPr>
          <w:rFonts w:ascii="Times New Roman" w:hAnsi="Times New Roman" w:eastAsia="黑体"/>
          <w:b/>
          <w:sz w:val="28"/>
        </w:rPr>
        <w:t>2.1 Snort 3入侵检测系统</w:t>
      </w:r>
      <w:bookmarkEnd w:id="2"/>
    </w:p>
    <w:p w14:paraId="252F77FC">
      <w:pPr>
        <w:spacing w:line="360" w:lineRule="exact"/>
        <w:ind w:firstLine="480"/>
        <w:jc w:val="both"/>
      </w:pPr>
      <w:r>
        <w:rPr>
          <w:rFonts w:ascii="Times New Roman" w:hAnsi="Times New Roman" w:eastAsia="宋体"/>
          <w:sz w:val="24"/>
        </w:rPr>
        <w:t>Snort 3是由Cisco开发的开源网络入侵检测系统的第三代版本，采用多线程架构大幅提升了数据包处理性能。Snort 3使用Lua配置语法，规则引擎支持更加灵活的流量匹配和协议解析能力。其核心工作模式包括数据包嗅探模式、数据包记录模式和网络入侵检测模式（NIDS），本课题在NIDS模式下进行规则集的加载与执行[4]。</w:t>
      </w:r>
    </w:p>
    <w:p w14:paraId="53ABAAF6">
      <w:pPr>
        <w:pStyle w:val="4"/>
        <w:spacing w:line="360" w:lineRule="exact"/>
      </w:pPr>
      <w:bookmarkStart w:id="3" w:name="_Toc731"/>
      <w:r>
        <w:rPr>
          <w:rFonts w:ascii="Times New Roman" w:hAnsi="Times New Roman" w:eastAsia="黑体"/>
          <w:b/>
          <w:sz w:val="28"/>
        </w:rPr>
        <w:t>2.2 TCP/IP协议与扫描技术原理</w:t>
      </w:r>
      <w:bookmarkEnd w:id="3"/>
    </w:p>
    <w:p w14:paraId="496C964F">
      <w:pPr>
        <w:spacing w:line="360" w:lineRule="exact"/>
        <w:ind w:firstLine="480"/>
        <w:jc w:val="both"/>
      </w:pPr>
      <w:r>
        <w:rPr>
          <w:rFonts w:ascii="Times New Roman" w:hAnsi="Times New Roman" w:eastAsia="宋体"/>
          <w:sz w:val="24"/>
        </w:rPr>
        <w:t>TCP零窗口扫描利用了TCP流量控制机制中的窗口字段，攻击者将TCP窗口大小设置为0发送SYN包，某些系统在收到此类异常数据包时会表现出与正常扫描不同的响应行为，攻击者据此判断端口状态。UDP端口0探测则利用了RFC 768中未定义端口0行为的特性，部分系统对端口0数据包的响应存在差异，可被用于信息收集。低TTL路由追踪技术通过发送生存时间值极小的ICMP包，根据超时反馈推断网络拓扑结构。SYN半开扫描（TCP SYN Stealth Scan）是最常用的端口扫描技术之一，攻击者发送SYN包后不完成三次握手，从而避免被目标系统完全记录连接日志，具有较好的隐蔽性[5]。</w:t>
      </w:r>
    </w:p>
    <w:p w14:paraId="07BA5676">
      <w:pPr>
        <w:pStyle w:val="4"/>
        <w:spacing w:line="360" w:lineRule="exact"/>
      </w:pPr>
      <w:bookmarkStart w:id="4" w:name="_Toc21138"/>
      <w:r>
        <w:rPr>
          <w:rFonts w:ascii="Times New Roman" w:hAnsi="Times New Roman" w:eastAsia="黑体"/>
          <w:b/>
          <w:sz w:val="28"/>
        </w:rPr>
        <w:t>2.3 HTTP协议攻击原理</w:t>
      </w:r>
      <w:bookmarkEnd w:id="4"/>
    </w:p>
    <w:p w14:paraId="55DA0D5E">
      <w:pPr>
        <w:spacing w:line="360" w:lineRule="exact"/>
        <w:ind w:firstLine="480"/>
        <w:jc w:val="both"/>
      </w:pPr>
      <w:r>
        <w:rPr>
          <w:rFonts w:ascii="Times New Roman" w:hAnsi="Times New Roman" w:eastAsia="宋体"/>
          <w:sz w:val="24"/>
        </w:rPr>
        <w:t>HTTP请求走私（HTTP Request Smuggling）利用了前端代理服务器和后端源服务器之间对HTTP请求边界解析的差异，攻击者通过构造畸形的Content-Length头实现请求走私攻击。HTTP TRACE方法如果被启用，可能被用于跨站追踪攻击（Cross-Site Tracing），窃取用户的Cookie信息。SQL注入攻击通过在HTTP请求参数中嵌入恶意SQL语句，可实现数据库信息窃取、权限绕过等危害。XSS跨站脚本攻击则通过在Web页面中注入恶意脚本代码，实现会话劫持和钓鱼攻击[6]。</w:t>
      </w:r>
    </w:p>
    <w:p w14:paraId="3CA7BC0C">
      <w:pPr>
        <w:pStyle w:val="4"/>
        <w:spacing w:line="360" w:lineRule="exact"/>
      </w:pPr>
      <w:bookmarkStart w:id="5" w:name="_Toc2889"/>
      <w:r>
        <w:rPr>
          <w:rFonts w:ascii="Times New Roman" w:hAnsi="Times New Roman" w:eastAsia="黑体"/>
          <w:b/>
          <w:sz w:val="28"/>
        </w:rPr>
        <w:t>2.4 实验环境与工具</w:t>
      </w:r>
      <w:bookmarkEnd w:id="5"/>
    </w:p>
    <w:p w14:paraId="3FFB51E3">
      <w:pPr>
        <w:spacing w:line="360" w:lineRule="exact"/>
        <w:ind w:firstLine="480"/>
        <w:jc w:val="both"/>
      </w:pPr>
      <w:r>
        <w:rPr>
          <w:rFonts w:ascii="Times New Roman" w:hAnsi="Times New Roman" w:eastAsia="宋体"/>
          <w:sz w:val="24"/>
        </w:rPr>
        <w:t>实验在VMware Workstation虚拟化平台中搭建，采用仅主机模式确保网络隔离。具体环境配置如下：</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2"/>
        <w:gridCol w:w="2882"/>
        <w:gridCol w:w="2882"/>
      </w:tblGrid>
      <w:tr w14:paraId="068F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tcPr>
          <w:p w14:paraId="06594AFB">
            <w:pPr>
              <w:jc w:val="center"/>
            </w:pPr>
            <w:r>
              <w:rPr>
                <w:rFonts w:ascii="Times New Roman" w:hAnsi="Times New Roman" w:eastAsia="宋体"/>
                <w:b/>
                <w:sz w:val="20"/>
              </w:rPr>
              <w:t>工具/环境</w:t>
            </w:r>
          </w:p>
        </w:tc>
        <w:tc>
          <w:tcPr>
            <w:tcW w:w="2882" w:type="dxa"/>
          </w:tcPr>
          <w:p w14:paraId="7078FB7F">
            <w:pPr>
              <w:jc w:val="center"/>
            </w:pPr>
            <w:r>
              <w:rPr>
                <w:rFonts w:ascii="Times New Roman" w:hAnsi="Times New Roman" w:eastAsia="宋体"/>
                <w:b/>
                <w:sz w:val="20"/>
              </w:rPr>
              <w:t>版本</w:t>
            </w:r>
          </w:p>
        </w:tc>
        <w:tc>
          <w:tcPr>
            <w:tcW w:w="2882" w:type="dxa"/>
          </w:tcPr>
          <w:p w14:paraId="502B0FA0">
            <w:pPr>
              <w:jc w:val="center"/>
            </w:pPr>
            <w:r>
              <w:rPr>
                <w:rFonts w:ascii="Times New Roman" w:hAnsi="Times New Roman" w:eastAsia="宋体"/>
                <w:b/>
                <w:sz w:val="20"/>
              </w:rPr>
              <w:t>用途</w:t>
            </w:r>
          </w:p>
        </w:tc>
      </w:tr>
      <w:tr w14:paraId="4578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tcPr>
          <w:p w14:paraId="6768A76A">
            <w:pPr>
              <w:jc w:val="center"/>
            </w:pPr>
            <w:r>
              <w:rPr>
                <w:rFonts w:ascii="Times New Roman" w:hAnsi="Times New Roman" w:eastAsia="宋体"/>
                <w:sz w:val="20"/>
              </w:rPr>
              <w:t>VMware Workstation</w:t>
            </w:r>
          </w:p>
        </w:tc>
        <w:tc>
          <w:tcPr>
            <w:tcW w:w="2882" w:type="dxa"/>
          </w:tcPr>
          <w:p w14:paraId="2ECEF24A">
            <w:pPr>
              <w:jc w:val="center"/>
            </w:pPr>
            <w:r>
              <w:rPr>
                <w:rFonts w:ascii="Times New Roman" w:hAnsi="Times New Roman" w:eastAsia="宋体"/>
                <w:sz w:val="20"/>
              </w:rPr>
              <w:t>17.x</w:t>
            </w:r>
          </w:p>
        </w:tc>
        <w:tc>
          <w:tcPr>
            <w:tcW w:w="2882" w:type="dxa"/>
          </w:tcPr>
          <w:p w14:paraId="030ABDC4">
            <w:pPr>
              <w:jc w:val="center"/>
            </w:pPr>
            <w:r>
              <w:rPr>
                <w:rFonts w:ascii="Times New Roman" w:hAnsi="Times New Roman" w:eastAsia="宋体"/>
                <w:sz w:val="20"/>
              </w:rPr>
              <w:t>虚拟化平台</w:t>
            </w:r>
          </w:p>
        </w:tc>
      </w:tr>
      <w:tr w14:paraId="66D6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tcPr>
          <w:p w14:paraId="1636C95B">
            <w:pPr>
              <w:jc w:val="center"/>
            </w:pPr>
            <w:r>
              <w:rPr>
                <w:rFonts w:ascii="Times New Roman" w:hAnsi="Times New Roman" w:eastAsia="宋体"/>
                <w:sz w:val="20"/>
              </w:rPr>
              <w:t>Kali Linux</w:t>
            </w:r>
          </w:p>
        </w:tc>
        <w:tc>
          <w:tcPr>
            <w:tcW w:w="2882" w:type="dxa"/>
          </w:tcPr>
          <w:p w14:paraId="23771AF7">
            <w:pPr>
              <w:jc w:val="center"/>
            </w:pPr>
            <w:r>
              <w:rPr>
                <w:rFonts w:ascii="Times New Roman" w:hAnsi="Times New Roman" w:eastAsia="宋体"/>
                <w:sz w:val="20"/>
              </w:rPr>
              <w:t>2024.x</w:t>
            </w:r>
          </w:p>
        </w:tc>
        <w:tc>
          <w:tcPr>
            <w:tcW w:w="2882" w:type="dxa"/>
          </w:tcPr>
          <w:p w14:paraId="741C1412">
            <w:pPr>
              <w:jc w:val="center"/>
            </w:pPr>
            <w:r>
              <w:rPr>
                <w:rFonts w:ascii="Times New Roman" w:hAnsi="Times New Roman" w:eastAsia="宋体"/>
                <w:sz w:val="20"/>
              </w:rPr>
              <w:t>攻击机（集成Nmap、Hping3、Curl、SQLmap等）</w:t>
            </w:r>
          </w:p>
        </w:tc>
      </w:tr>
      <w:tr w14:paraId="4786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tcPr>
          <w:p w14:paraId="253D5B6F">
            <w:pPr>
              <w:jc w:val="center"/>
            </w:pPr>
            <w:r>
              <w:rPr>
                <w:rFonts w:ascii="Times New Roman" w:hAnsi="Times New Roman" w:eastAsia="宋体"/>
                <w:sz w:val="20"/>
              </w:rPr>
              <w:t>Ubuntu 22.04</w:t>
            </w:r>
          </w:p>
        </w:tc>
        <w:tc>
          <w:tcPr>
            <w:tcW w:w="2882" w:type="dxa"/>
          </w:tcPr>
          <w:p w14:paraId="6A761307">
            <w:pPr>
              <w:jc w:val="center"/>
            </w:pPr>
            <w:r>
              <w:rPr>
                <w:rFonts w:ascii="Times New Roman" w:hAnsi="Times New Roman" w:eastAsia="宋体"/>
                <w:sz w:val="20"/>
              </w:rPr>
              <w:t>22.04 LTS</w:t>
            </w:r>
          </w:p>
        </w:tc>
        <w:tc>
          <w:tcPr>
            <w:tcW w:w="2882" w:type="dxa"/>
          </w:tcPr>
          <w:p w14:paraId="5A6E9E90">
            <w:pPr>
              <w:jc w:val="center"/>
            </w:pPr>
            <w:r>
              <w:rPr>
                <w:rFonts w:ascii="Times New Roman" w:hAnsi="Times New Roman" w:eastAsia="宋体"/>
                <w:sz w:val="20"/>
              </w:rPr>
              <w:t>靶机/Snort 3检测机</w:t>
            </w:r>
          </w:p>
        </w:tc>
      </w:tr>
      <w:tr w14:paraId="1731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tcPr>
          <w:p w14:paraId="6018A015">
            <w:pPr>
              <w:jc w:val="center"/>
            </w:pPr>
            <w:r>
              <w:rPr>
                <w:rFonts w:ascii="Times New Roman" w:hAnsi="Times New Roman" w:eastAsia="宋体"/>
                <w:sz w:val="20"/>
              </w:rPr>
              <w:t>Snort 3</w:t>
            </w:r>
          </w:p>
        </w:tc>
        <w:tc>
          <w:tcPr>
            <w:tcW w:w="2882" w:type="dxa"/>
          </w:tcPr>
          <w:p w14:paraId="302B649E">
            <w:pPr>
              <w:jc w:val="center"/>
            </w:pPr>
            <w:r>
              <w:rPr>
                <w:rFonts w:ascii="Times New Roman" w:hAnsi="Times New Roman" w:eastAsia="宋体"/>
                <w:sz w:val="20"/>
              </w:rPr>
              <w:t>3.x</w:t>
            </w:r>
          </w:p>
        </w:tc>
        <w:tc>
          <w:tcPr>
            <w:tcW w:w="2882" w:type="dxa"/>
          </w:tcPr>
          <w:p w14:paraId="098AE1B7">
            <w:pPr>
              <w:jc w:val="center"/>
            </w:pPr>
            <w:r>
              <w:rPr>
                <w:rFonts w:ascii="Times New Roman" w:hAnsi="Times New Roman" w:eastAsia="宋体"/>
                <w:sz w:val="20"/>
              </w:rPr>
              <w:t>入侵检测系统</w:t>
            </w:r>
          </w:p>
        </w:tc>
      </w:tr>
      <w:tr w14:paraId="7C7C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tcPr>
          <w:p w14:paraId="382B4F9D">
            <w:pPr>
              <w:jc w:val="center"/>
            </w:pPr>
            <w:r>
              <w:rPr>
                <w:rFonts w:ascii="Times New Roman" w:hAnsi="Times New Roman" w:eastAsia="宋体"/>
                <w:sz w:val="20"/>
              </w:rPr>
              <w:t>Nmap</w:t>
            </w:r>
          </w:p>
        </w:tc>
        <w:tc>
          <w:tcPr>
            <w:tcW w:w="2882" w:type="dxa"/>
          </w:tcPr>
          <w:p w14:paraId="32B59409">
            <w:pPr>
              <w:jc w:val="center"/>
            </w:pPr>
            <w:r>
              <w:rPr>
                <w:rFonts w:ascii="Times New Roman" w:hAnsi="Times New Roman" w:eastAsia="宋体"/>
                <w:sz w:val="20"/>
              </w:rPr>
              <w:t>7.x</w:t>
            </w:r>
          </w:p>
        </w:tc>
        <w:tc>
          <w:tcPr>
            <w:tcW w:w="2882" w:type="dxa"/>
          </w:tcPr>
          <w:p w14:paraId="24941DC4">
            <w:pPr>
              <w:jc w:val="center"/>
            </w:pPr>
            <w:r>
              <w:rPr>
                <w:rFonts w:ascii="Times New Roman" w:hAnsi="Times New Roman" w:eastAsia="宋体"/>
                <w:sz w:val="20"/>
              </w:rPr>
              <w:t>端口扫描工具</w:t>
            </w:r>
          </w:p>
        </w:tc>
      </w:tr>
      <w:tr w14:paraId="4078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tcPr>
          <w:p w14:paraId="250F1848">
            <w:pPr>
              <w:jc w:val="center"/>
            </w:pPr>
            <w:r>
              <w:rPr>
                <w:rFonts w:ascii="Times New Roman" w:hAnsi="Times New Roman" w:eastAsia="宋体"/>
                <w:sz w:val="20"/>
              </w:rPr>
              <w:t>Hping3</w:t>
            </w:r>
          </w:p>
        </w:tc>
        <w:tc>
          <w:tcPr>
            <w:tcW w:w="2882" w:type="dxa"/>
          </w:tcPr>
          <w:p w14:paraId="6B053726">
            <w:pPr>
              <w:jc w:val="center"/>
            </w:pPr>
            <w:r>
              <w:rPr>
                <w:rFonts w:ascii="Times New Roman" w:hAnsi="Times New Roman" w:eastAsia="宋体"/>
                <w:sz w:val="20"/>
              </w:rPr>
              <w:t>最新版</w:t>
            </w:r>
          </w:p>
        </w:tc>
        <w:tc>
          <w:tcPr>
            <w:tcW w:w="2882" w:type="dxa"/>
          </w:tcPr>
          <w:p w14:paraId="4D773602">
            <w:pPr>
              <w:jc w:val="center"/>
            </w:pPr>
            <w:r>
              <w:rPr>
                <w:rFonts w:ascii="Times New Roman" w:hAnsi="Times New Roman" w:eastAsia="宋体"/>
                <w:sz w:val="20"/>
              </w:rPr>
              <w:t>高级TCP/UDP数据包构造工具</w:t>
            </w:r>
          </w:p>
        </w:tc>
      </w:tr>
      <w:tr w14:paraId="6097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tcPr>
          <w:p w14:paraId="6FFEA439">
            <w:pPr>
              <w:jc w:val="center"/>
            </w:pPr>
            <w:r>
              <w:rPr>
                <w:rFonts w:ascii="Times New Roman" w:hAnsi="Times New Roman" w:eastAsia="宋体"/>
                <w:sz w:val="20"/>
              </w:rPr>
              <w:t>Curl</w:t>
            </w:r>
          </w:p>
        </w:tc>
        <w:tc>
          <w:tcPr>
            <w:tcW w:w="2882" w:type="dxa"/>
          </w:tcPr>
          <w:p w14:paraId="383FB788">
            <w:pPr>
              <w:jc w:val="center"/>
            </w:pPr>
            <w:r>
              <w:rPr>
                <w:rFonts w:ascii="Times New Roman" w:hAnsi="Times New Roman" w:eastAsia="宋体"/>
                <w:sz w:val="20"/>
              </w:rPr>
              <w:t>最新版</w:t>
            </w:r>
          </w:p>
        </w:tc>
        <w:tc>
          <w:tcPr>
            <w:tcW w:w="2882" w:type="dxa"/>
          </w:tcPr>
          <w:p w14:paraId="04AF9336">
            <w:pPr>
              <w:jc w:val="center"/>
            </w:pPr>
            <w:r>
              <w:rPr>
                <w:rFonts w:ascii="Times New Roman" w:hAnsi="Times New Roman" w:eastAsia="宋体"/>
                <w:sz w:val="20"/>
              </w:rPr>
              <w:t>HTTP请求构造工具</w:t>
            </w:r>
          </w:p>
        </w:tc>
      </w:tr>
      <w:tr w14:paraId="62852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tcPr>
          <w:p w14:paraId="03C34638">
            <w:pPr>
              <w:jc w:val="center"/>
            </w:pPr>
            <w:r>
              <w:rPr>
                <w:rFonts w:ascii="Times New Roman" w:hAnsi="Times New Roman" w:eastAsia="宋体"/>
                <w:sz w:val="20"/>
              </w:rPr>
              <w:t>SQLmap</w:t>
            </w:r>
          </w:p>
        </w:tc>
        <w:tc>
          <w:tcPr>
            <w:tcW w:w="2882" w:type="dxa"/>
          </w:tcPr>
          <w:p w14:paraId="02A74B3D">
            <w:pPr>
              <w:jc w:val="center"/>
            </w:pPr>
            <w:r>
              <w:rPr>
                <w:rFonts w:ascii="Times New Roman" w:hAnsi="Times New Roman" w:eastAsia="宋体"/>
                <w:sz w:val="20"/>
              </w:rPr>
              <w:t>最新版</w:t>
            </w:r>
          </w:p>
        </w:tc>
        <w:tc>
          <w:tcPr>
            <w:tcW w:w="2882" w:type="dxa"/>
          </w:tcPr>
          <w:p w14:paraId="2650C260">
            <w:pPr>
              <w:jc w:val="center"/>
            </w:pPr>
            <w:r>
              <w:rPr>
                <w:rFonts w:ascii="Times New Roman" w:hAnsi="Times New Roman" w:eastAsia="宋体"/>
                <w:sz w:val="20"/>
              </w:rPr>
              <w:t>SQL注入自动化检测工具</w:t>
            </w:r>
          </w:p>
        </w:tc>
      </w:tr>
      <w:tr w14:paraId="7552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tcPr>
          <w:p w14:paraId="0B2D9241">
            <w:pPr>
              <w:jc w:val="center"/>
            </w:pPr>
            <w:r>
              <w:rPr>
                <w:rFonts w:ascii="Times New Roman" w:hAnsi="Times New Roman" w:eastAsia="宋体"/>
                <w:sz w:val="20"/>
              </w:rPr>
              <w:t>Traceroute</w:t>
            </w:r>
          </w:p>
        </w:tc>
        <w:tc>
          <w:tcPr>
            <w:tcW w:w="2882" w:type="dxa"/>
          </w:tcPr>
          <w:p w14:paraId="090BDF38">
            <w:pPr>
              <w:jc w:val="center"/>
            </w:pPr>
            <w:r>
              <w:rPr>
                <w:rFonts w:ascii="Times New Roman" w:hAnsi="Times New Roman" w:eastAsia="宋体"/>
                <w:sz w:val="20"/>
              </w:rPr>
              <w:t>最新版</w:t>
            </w:r>
          </w:p>
        </w:tc>
        <w:tc>
          <w:tcPr>
            <w:tcW w:w="2882" w:type="dxa"/>
          </w:tcPr>
          <w:p w14:paraId="1F06A30D">
            <w:pPr>
              <w:jc w:val="center"/>
            </w:pPr>
            <w:r>
              <w:rPr>
                <w:rFonts w:ascii="Times New Roman" w:hAnsi="Times New Roman" w:eastAsia="宋体"/>
                <w:sz w:val="20"/>
              </w:rPr>
              <w:t>路由追踪工具</w:t>
            </w:r>
          </w:p>
        </w:tc>
      </w:tr>
      <w:tr w14:paraId="00CA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2" w:type="dxa"/>
          </w:tcPr>
          <w:p w14:paraId="37D3DA16">
            <w:pPr>
              <w:jc w:val="center"/>
            </w:pPr>
            <w:r>
              <w:rPr>
                <w:rFonts w:ascii="Times New Roman" w:hAnsi="Times New Roman" w:eastAsia="宋体"/>
                <w:sz w:val="20"/>
              </w:rPr>
              <w:t>enum4linux</w:t>
            </w:r>
          </w:p>
        </w:tc>
        <w:tc>
          <w:tcPr>
            <w:tcW w:w="2882" w:type="dxa"/>
          </w:tcPr>
          <w:p w14:paraId="0317C832">
            <w:pPr>
              <w:jc w:val="center"/>
            </w:pPr>
            <w:r>
              <w:rPr>
                <w:rFonts w:ascii="Times New Roman" w:hAnsi="Times New Roman" w:eastAsia="宋体"/>
                <w:sz w:val="20"/>
              </w:rPr>
              <w:t>最新版</w:t>
            </w:r>
          </w:p>
        </w:tc>
        <w:tc>
          <w:tcPr>
            <w:tcW w:w="2882" w:type="dxa"/>
          </w:tcPr>
          <w:p w14:paraId="50A2423B">
            <w:pPr>
              <w:jc w:val="center"/>
            </w:pPr>
            <w:r>
              <w:rPr>
                <w:rFonts w:ascii="Times New Roman" w:hAnsi="Times New Roman" w:eastAsia="宋体"/>
                <w:sz w:val="20"/>
              </w:rPr>
              <w:t>SMB枚举工具</w:t>
            </w:r>
          </w:p>
        </w:tc>
      </w:tr>
    </w:tbl>
    <w:p w14:paraId="65CA1E5D">
      <w:pPr>
        <w:spacing w:line="360" w:lineRule="exact"/>
        <w:jc w:val="center"/>
      </w:pPr>
      <w:r>
        <w:rPr>
          <w:rFonts w:ascii="Times New Roman" w:hAnsi="Times New Roman" w:eastAsia="宋体"/>
          <w:sz w:val="20"/>
        </w:rPr>
        <w:t>表1 实验工具与环境配置</w:t>
      </w:r>
    </w:p>
    <w:p w14:paraId="7E9DCE0B">
      <w:pPr>
        <w:pStyle w:val="3"/>
        <w:spacing w:line="360" w:lineRule="exact"/>
      </w:pPr>
      <w:bookmarkStart w:id="6" w:name="_Toc32317"/>
      <w:r>
        <w:rPr>
          <w:rFonts w:ascii="Times New Roman" w:hAnsi="Times New Roman" w:eastAsia="黑体"/>
          <w:b/>
          <w:sz w:val="32"/>
        </w:rPr>
        <w:t>三、设计与实现</w:t>
      </w:r>
      <w:bookmarkEnd w:id="6"/>
    </w:p>
    <w:p w14:paraId="3A5C00A8">
      <w:pPr>
        <w:pStyle w:val="4"/>
        <w:spacing w:line="360" w:lineRule="exact"/>
      </w:pPr>
      <w:bookmarkStart w:id="7" w:name="_Toc20489"/>
      <w:r>
        <w:rPr>
          <w:rFonts w:ascii="Times New Roman" w:hAnsi="Times New Roman" w:eastAsia="黑体"/>
          <w:b/>
          <w:sz w:val="28"/>
        </w:rPr>
        <w:t>3.1 总体设计思路</w:t>
      </w:r>
      <w:bookmarkEnd w:id="7"/>
    </w:p>
    <w:p w14:paraId="25FA29E0">
      <w:pPr>
        <w:spacing w:line="360" w:lineRule="exact"/>
        <w:ind w:firstLine="480"/>
        <w:jc w:val="both"/>
      </w:pPr>
      <w:r>
        <w:rPr>
          <w:rFonts w:ascii="Times New Roman" w:hAnsi="Times New Roman" w:eastAsia="宋体"/>
          <w:sz w:val="24"/>
        </w:rPr>
        <w:t>本课题的规则集设计以"高级扫描检测"与"HTTP应用层攻击检测"为核心双主线，辅以ICMP攻击检测和基础协议安全检测，形成四类场景的立体覆盖。规则集共包含25条检测规则，覆盖ICMP攻击检测（5条）、高级扫描检测（7条）、HTTP应用层攻击检测（7条）和基础协议安全检测（6条）四大类别。设计遵循"精准匹配、分级告警、场景适配"的原则，针对每种攻击手法提取最核心的流量特征，确保检测的准确性和实时性。</w:t>
      </w:r>
    </w:p>
    <w:p w14:paraId="53160126">
      <w:pPr>
        <w:pStyle w:val="4"/>
        <w:spacing w:line="360" w:lineRule="exact"/>
      </w:pPr>
      <w:bookmarkStart w:id="8" w:name="_Toc5338"/>
      <w:r>
        <w:rPr>
          <w:rFonts w:ascii="Times New Roman" w:hAnsi="Times New Roman" w:eastAsia="黑体"/>
          <w:b/>
          <w:sz w:val="28"/>
        </w:rPr>
        <w:t>3.2 网络拓扑结构</w:t>
      </w:r>
      <w:bookmarkEnd w:id="8"/>
    </w:p>
    <w:p w14:paraId="43D412D0">
      <w:pPr>
        <w:spacing w:line="360" w:lineRule="exact"/>
        <w:ind w:firstLine="480"/>
        <w:jc w:val="both"/>
      </w:pPr>
      <w:r>
        <w:rPr>
          <w:rFonts w:ascii="Times New Roman" w:hAnsi="Times New Roman" w:eastAsia="宋体"/>
          <w:sz w:val="24"/>
        </w:rPr>
        <w:t>实验采用VMware仅主机模式搭建隔离网络，攻击机Kali（192.168.139.10）通过虚拟交换机与靶机Ubuntu（192.168.139.136）直连通信。Snort 3部署在靶机上，监控ens33网络接口，对进出流量进行实时检测和告警。</w:t>
      </w:r>
    </w:p>
    <w:p w14:paraId="0DF31051">
      <w:pPr>
        <w:pStyle w:val="4"/>
        <w:spacing w:line="360" w:lineRule="exact"/>
      </w:pPr>
      <w:bookmarkStart w:id="9" w:name="_Toc10552"/>
      <w:r>
        <w:rPr>
          <w:rFonts w:ascii="Times New Roman" w:hAnsi="Times New Roman" w:eastAsia="黑体"/>
          <w:b/>
          <w:sz w:val="28"/>
        </w:rPr>
        <w:t>3.3 规则集详细设计</w:t>
      </w:r>
      <w:bookmarkEnd w:id="9"/>
    </w:p>
    <w:p w14:paraId="45B95FF5">
      <w:pPr>
        <w:spacing w:line="360" w:lineRule="exact"/>
        <w:ind w:firstLine="480"/>
        <w:jc w:val="both"/>
      </w:pPr>
      <w:r>
        <w:rPr>
          <w:rFonts w:ascii="Times New Roman" w:hAnsi="Times New Roman" w:eastAsia="宋体"/>
          <w:sz w:val="24"/>
        </w:rPr>
        <w:t>本课题共设计25条Snort 3检测规则，按检测目标分为四大类：ICMP攻击检测类、高级扫描检测类、HTTP应用层攻击检测类和基础协议安全检测类。以下分类详述各规则的设计思路。</w:t>
      </w:r>
    </w:p>
    <w:p w14:paraId="5FB8CAF3">
      <w:pPr>
        <w:spacing w:line="360" w:lineRule="exact"/>
        <w:jc w:val="left"/>
      </w:pPr>
      <w:r>
        <w:rPr>
          <w:rFonts w:ascii="Times New Roman" w:hAnsi="Times New Roman" w:eastAsia="黑体"/>
          <w:b/>
          <w:sz w:val="24"/>
        </w:rPr>
        <w:t>（一）ICMP攻击检测类（规则1~5）</w:t>
      </w:r>
    </w:p>
    <w:p w14:paraId="5260C7F3">
      <w:pPr>
        <w:spacing w:line="360" w:lineRule="exact"/>
        <w:ind w:firstLine="480"/>
        <w:jc w:val="both"/>
      </w:pPr>
      <w:r>
        <w:rPr>
          <w:rFonts w:ascii="Times New Roman" w:hAnsi="Times New Roman" w:eastAsia="宋体"/>
          <w:sz w:val="24"/>
        </w:rPr>
        <w:t>规则1和规则2分别检测ICMP Echo Request和Echo Reply，对应最基本的ping探测行为，是网络层监控的基础规则。规则3针对ICMP洪水攻击设计，通过检测短时间内的密集ICMP请求流量来识别洪水攻击。规则4检测低TTL值（ttl:&lt;5）的ICMP数据包，这类数据包通常由traceroute等路由追踪工具产生，可被用于网络拓扑探测和信息收集[7]。规则5检测超大ICMP数据包（dsize:&gt;65500），识别死亡之Ping（Ping of Death）攻击行为，这种攻击通过发送超过标准大小的ICMP数据包导致目标系统缓冲区溢出。本组将ICMP攻击细分为五种场景进行检测，覆盖了从基础探测到DoS攻击的完整链路。</w:t>
      </w:r>
    </w:p>
    <w:p w14:paraId="253AEDF7">
      <w:pPr>
        <w:spacing w:line="360" w:lineRule="exact"/>
        <w:jc w:val="left"/>
      </w:pPr>
      <w:r>
        <w:rPr>
          <w:rFonts w:ascii="Times New Roman" w:hAnsi="Times New Roman" w:eastAsia="黑体"/>
          <w:b/>
          <w:sz w:val="24"/>
        </w:rPr>
        <w:t>（二）高级扫描检测类（规则6~12）</w:t>
      </w:r>
    </w:p>
    <w:p w14:paraId="71233AFB">
      <w:pPr>
        <w:spacing w:line="360" w:lineRule="exact"/>
        <w:ind w:firstLine="480"/>
        <w:jc w:val="both"/>
      </w:pPr>
      <w:r>
        <w:rPr>
          <w:rFonts w:ascii="Times New Roman" w:hAnsi="Times New Roman" w:eastAsia="宋体"/>
          <w:sz w:val="24"/>
        </w:rPr>
        <w:t>规则6~8覆盖了标准的NULL扫描、FIN扫描和XMAS扫描，这些是TCP隐蔽扫描检测的基础规则。规则9检测TCP SYN半开扫描（flags:S），这是Nmap默认使用的端口扫描方式，攻击者通过发送SYN包但不完成三次握手来探测端口状态，具有较高的隐蔽性。规则10是本组的特色规则之一——TCP零窗口探测检测，该规则通过匹配TCP窗口大小为0（window:0）的SYN包来识别零窗口扫描攻击，此类扫描手法较为隐蔽，传统的频率统计型检测方法难以有效识别。规则11检测UDP全端口扫描。规则12检测目标端口为0的UDP探测包，端口0在标准协议中未被定义，任何发往端口0的数据包都应被视为可疑行为[5]。本组在高级扫描检测方面共设计了7条规则，覆盖面广、针对性强。</w:t>
      </w:r>
    </w:p>
    <w:p w14:paraId="60D14CFC">
      <w:pPr>
        <w:spacing w:line="360" w:lineRule="exact"/>
        <w:jc w:val="left"/>
      </w:pPr>
      <w:r>
        <w:rPr>
          <w:rFonts w:ascii="Times New Roman" w:hAnsi="Times New Roman" w:eastAsia="黑体"/>
          <w:b/>
          <w:sz w:val="24"/>
        </w:rPr>
        <w:t>（三）HTTP应用层攻击检测类（规则13~19）</w:t>
      </w:r>
    </w:p>
    <w:p w14:paraId="1D7C30E8">
      <w:pPr>
        <w:spacing w:line="360" w:lineRule="exact"/>
        <w:ind w:firstLine="480"/>
        <w:jc w:val="both"/>
      </w:pPr>
      <w:r>
        <w:rPr>
          <w:rFonts w:ascii="Times New Roman" w:hAnsi="Times New Roman" w:eastAsia="宋体"/>
          <w:sz w:val="24"/>
        </w:rPr>
        <w:t>规则13检测HTTP GET请求，作为Web访问的基础监控规则。规则14检测使用Curl等命令行工具发起的HTTP请求，识别自动化扫描工具的探测行为。规则15检测HTTP TRACE方法，如果Web服务器启用了TRACE方法且Cookie中设置了HttpOnly=false，可能引发跨站追踪攻击（XST）。规则16检测多个Content-Length头的HTTP请求，这是HTTP请求走私攻击的典型特征。规则17是本组在Web应用安全方面的重要扩展——检测SQL注入攻击，通过联合匹配"UNION"和"SELECT"关键词识别SQL注入尝试。规则18检测XSS跨站脚本攻击，通过匹配"&lt;script"标签内容识别脚本注入行为。规则19检测HTTP 200 OK响应报文，用于确认Web服务的正常应答状态[8]。这七条规则从基础HTTP监控到SQL注入和XSS攻击检测，形成了完整的Web安全检测链。</w:t>
      </w:r>
    </w:p>
    <w:p w14:paraId="7B132C33">
      <w:pPr>
        <w:spacing w:line="360" w:lineRule="exact"/>
        <w:jc w:val="left"/>
      </w:pPr>
      <w:r>
        <w:rPr>
          <w:rFonts w:ascii="Times New Roman" w:hAnsi="Times New Roman" w:eastAsia="黑体"/>
          <w:b/>
          <w:sz w:val="24"/>
        </w:rPr>
        <w:t>（四）基础协议安全检测类（规则20~25）</w:t>
      </w:r>
    </w:p>
    <w:p w14:paraId="099BF3C5">
      <w:pPr>
        <w:spacing w:line="360" w:lineRule="exact"/>
        <w:ind w:firstLine="480"/>
        <w:jc w:val="both"/>
      </w:pPr>
      <w:r>
        <w:rPr>
          <w:rFonts w:ascii="Times New Roman" w:hAnsi="Times New Roman" w:eastAsia="宋体"/>
          <w:sz w:val="24"/>
        </w:rPr>
        <w:t>规则20和规则21分别检测SSH握手连接和SSH会话数据传输，SSH虽然是一种安全的远程管理协议，但SSH服务也是暴力破解攻击的重点目标，对其连接行为进行监控有助于发现异常的远程登录尝试。规则22检测Telnet明文连接，Telnet以明文方式传输数据（包括用户名和密码），存在严重安全隐患，本规则用于监控和告警Telnet协议的使用。规则23检测SMB匿名空会话，攻击者常利用SMB空会话进行内网共享资源枚举和信息收集。规则24检测RDP远程桌面连接，RDP服务是勒索软件和暴力破解攻击的高频目标。规则25检测DNS批量查询行为，识别域名信息搜集侦查活动。</w:t>
      </w:r>
    </w:p>
    <w:p w14:paraId="5FF9F3A1">
      <w:pPr>
        <w:spacing w:line="360" w:lineRule="exact"/>
        <w:ind w:firstLine="480"/>
        <w:jc w:val="both"/>
      </w:pPr>
      <w:r>
        <w:rPr>
          <w:rFonts w:ascii="Times New Roman" w:hAnsi="Times New Roman" w:eastAsia="宋体"/>
          <w:sz w:val="24"/>
        </w:rPr>
        <w:t>以下是本组规则集的部分核心代码示例：</w:t>
      </w:r>
    </w:p>
    <w:p w14:paraId="5EB1E244">
      <w:pPr>
        <w:spacing w:line="280" w:lineRule="exact"/>
        <w:ind w:left="454"/>
        <w:jc w:val="left"/>
      </w:pPr>
      <w:r>
        <w:rPr>
          <w:rFonts w:ascii="Courier New" w:hAnsi="Courier New"/>
          <w:sz w:val="18"/>
        </w:rPr>
        <w:t># 规则5: 死亡之Ping检测</w:t>
      </w:r>
      <w:r>
        <w:rPr>
          <w:rFonts w:ascii="Courier New" w:hAnsi="Courier New"/>
          <w:sz w:val="18"/>
        </w:rPr>
        <w:br w:type="textWrapping"/>
      </w:r>
      <w:r>
        <w:rPr>
          <w:rFonts w:ascii="Courier New" w:hAnsi="Courier New"/>
          <w:sz w:val="18"/>
        </w:rPr>
        <w:t>alert icmp 192.168.139.10 any -&gt; 192.168.139.136 any (</w:t>
      </w:r>
      <w:r>
        <w:rPr>
          <w:rFonts w:ascii="Courier New" w:hAnsi="Courier New"/>
          <w:sz w:val="18"/>
        </w:rPr>
        <w:br w:type="textWrapping"/>
      </w:r>
      <w:r>
        <w:rPr>
          <w:rFonts w:ascii="Courier New" w:hAnsi="Courier New"/>
          <w:sz w:val="18"/>
        </w:rPr>
        <w:t xml:space="preserve">    msg:"检测超大ICMP数据包 - 死亡之Ping攻击行为";</w:t>
      </w:r>
      <w:r>
        <w:rPr>
          <w:rFonts w:ascii="Courier New" w:hAnsi="Courier New"/>
          <w:sz w:val="18"/>
        </w:rPr>
        <w:br w:type="textWrapping"/>
      </w:r>
      <w:r>
        <w:rPr>
          <w:rFonts w:ascii="Courier New" w:hAnsi="Courier New"/>
          <w:sz w:val="18"/>
        </w:rPr>
        <w:t xml:space="preserve">    dsize:&gt;65500; itype:8; sid:1000005; rev:2;</w:t>
      </w:r>
      <w:r>
        <w:rPr>
          <w:rFonts w:ascii="Courier New" w:hAnsi="Courier New"/>
          <w:sz w:val="18"/>
        </w:rPr>
        <w:br w:type="textWrapping"/>
      </w:r>
      <w:r>
        <w:rPr>
          <w:rFonts w:ascii="Courier New" w:hAnsi="Courier New"/>
          <w:sz w:val="18"/>
        </w:rPr>
        <w:t xml:space="preserve">    classtype:attempted-dos; priority:2;)</w:t>
      </w:r>
      <w:r>
        <w:rPr>
          <w:rFonts w:ascii="Courier New" w:hAnsi="Courier New"/>
          <w:sz w:val="18"/>
        </w:rPr>
        <w:br w:type="textWrapping"/>
      </w:r>
      <w:r>
        <w:rPr>
          <w:rFonts w:ascii="Courier New" w:hAnsi="Courier New"/>
          <w:sz w:val="18"/>
        </w:rPr>
        <w:br w:type="textWrapping"/>
      </w:r>
      <w:r>
        <w:rPr>
          <w:rFonts w:ascii="Courier New" w:hAnsi="Courier New"/>
          <w:sz w:val="18"/>
        </w:rPr>
        <w:t># 规则10: TCP零窗口探测检测</w:t>
      </w:r>
      <w:r>
        <w:rPr>
          <w:rFonts w:ascii="Courier New" w:hAnsi="Courier New"/>
          <w:sz w:val="18"/>
        </w:rPr>
        <w:br w:type="textWrapping"/>
      </w:r>
      <w:r>
        <w:rPr>
          <w:rFonts w:ascii="Courier New" w:hAnsi="Courier New"/>
          <w:sz w:val="18"/>
        </w:rPr>
        <w:t>alert tcp 192.168.139.10 any -&gt; 192.168.139.136 any (</w:t>
      </w:r>
      <w:r>
        <w:rPr>
          <w:rFonts w:ascii="Courier New" w:hAnsi="Courier New"/>
          <w:sz w:val="18"/>
        </w:rPr>
        <w:br w:type="textWrapping"/>
      </w:r>
      <w:r>
        <w:rPr>
          <w:rFonts w:ascii="Courier New" w:hAnsi="Courier New"/>
          <w:sz w:val="18"/>
        </w:rPr>
        <w:t xml:space="preserve">    msg:"检测到TCP零窗口探测包 - 异常空闲扫描";</w:t>
      </w:r>
      <w:r>
        <w:rPr>
          <w:rFonts w:ascii="Courier New" w:hAnsi="Courier New"/>
          <w:sz w:val="18"/>
        </w:rPr>
        <w:br w:type="textWrapping"/>
      </w:r>
      <w:r>
        <w:rPr>
          <w:rFonts w:ascii="Courier New" w:hAnsi="Courier New"/>
          <w:sz w:val="18"/>
        </w:rPr>
        <w:t xml:space="preserve">    flags:S; window:0; sid:1000010; rev:2;</w:t>
      </w:r>
      <w:r>
        <w:rPr>
          <w:rFonts w:ascii="Courier New" w:hAnsi="Courier New"/>
          <w:sz w:val="18"/>
        </w:rPr>
        <w:br w:type="textWrapping"/>
      </w:r>
      <w:r>
        <w:rPr>
          <w:rFonts w:ascii="Courier New" w:hAnsi="Courier New"/>
          <w:sz w:val="18"/>
        </w:rPr>
        <w:t xml:space="preserve">    classtype:attempted-recon; priority:2;)</w:t>
      </w:r>
      <w:r>
        <w:rPr>
          <w:rFonts w:ascii="Courier New" w:hAnsi="Courier New"/>
          <w:sz w:val="18"/>
        </w:rPr>
        <w:br w:type="textWrapping"/>
      </w:r>
      <w:r>
        <w:rPr>
          <w:rFonts w:ascii="Courier New" w:hAnsi="Courier New"/>
          <w:sz w:val="18"/>
        </w:rPr>
        <w:br w:type="textWrapping"/>
      </w:r>
      <w:r>
        <w:rPr>
          <w:rFonts w:ascii="Courier New" w:hAnsi="Courier New"/>
          <w:sz w:val="18"/>
        </w:rPr>
        <w:t># 规则14: 非浏览器HTTP请求检测</w:t>
      </w:r>
      <w:r>
        <w:rPr>
          <w:rFonts w:ascii="Courier New" w:hAnsi="Courier New"/>
          <w:sz w:val="18"/>
        </w:rPr>
        <w:br w:type="textWrapping"/>
      </w:r>
      <w:r>
        <w:rPr>
          <w:rFonts w:ascii="Courier New" w:hAnsi="Courier New"/>
          <w:sz w:val="18"/>
        </w:rPr>
        <w:t>alert tcp 192.168.139.10 any -&gt; 192.168.139.136 80 (</w:t>
      </w:r>
      <w:r>
        <w:rPr>
          <w:rFonts w:ascii="Courier New" w:hAnsi="Courier New"/>
          <w:sz w:val="18"/>
        </w:rPr>
        <w:br w:type="textWrapping"/>
      </w:r>
      <w:r>
        <w:rPr>
          <w:rFonts w:ascii="Courier New" w:hAnsi="Courier New"/>
          <w:sz w:val="18"/>
        </w:rPr>
        <w:t xml:space="preserve">    msg:"检测到Curl工具访问请求 - 自动化脚本扫描行为";</w:t>
      </w:r>
      <w:r>
        <w:rPr>
          <w:rFonts w:ascii="Courier New" w:hAnsi="Courier New"/>
          <w:sz w:val="18"/>
        </w:rPr>
        <w:br w:type="textWrapping"/>
      </w:r>
      <w:r>
        <w:rPr>
          <w:rFonts w:ascii="Courier New" w:hAnsi="Courier New"/>
          <w:sz w:val="18"/>
        </w:rPr>
        <w:t xml:space="preserve">    flow:to_server,established;</w:t>
      </w:r>
      <w:r>
        <w:rPr>
          <w:rFonts w:ascii="Courier New" w:hAnsi="Courier New"/>
          <w:sz w:val="18"/>
        </w:rPr>
        <w:br w:type="textWrapping"/>
      </w:r>
      <w:r>
        <w:rPr>
          <w:rFonts w:ascii="Courier New" w:hAnsi="Courier New"/>
          <w:sz w:val="18"/>
        </w:rPr>
        <w:t xml:space="preserve">    content:"curl"; sid:1000014; rev:2;</w:t>
      </w:r>
      <w:r>
        <w:rPr>
          <w:rFonts w:ascii="Courier New" w:hAnsi="Courier New"/>
          <w:sz w:val="18"/>
        </w:rPr>
        <w:br w:type="textWrapping"/>
      </w:r>
      <w:r>
        <w:rPr>
          <w:rFonts w:ascii="Courier New" w:hAnsi="Courier New"/>
          <w:sz w:val="18"/>
        </w:rPr>
        <w:t xml:space="preserve">    classtype:attempted-recon; priority:2;)</w:t>
      </w:r>
      <w:r>
        <w:rPr>
          <w:rFonts w:ascii="Courier New" w:hAnsi="Courier New"/>
          <w:sz w:val="18"/>
        </w:rPr>
        <w:br w:type="textWrapping"/>
      </w:r>
      <w:r>
        <w:rPr>
          <w:rFonts w:ascii="Courier New" w:hAnsi="Courier New"/>
          <w:sz w:val="18"/>
        </w:rPr>
        <w:br w:type="textWrapping"/>
      </w:r>
      <w:r>
        <w:rPr>
          <w:rFonts w:ascii="Courier New" w:hAnsi="Courier New"/>
          <w:sz w:val="18"/>
        </w:rPr>
        <w:t># 规则16: HTTP请求走私检测</w:t>
      </w:r>
      <w:r>
        <w:rPr>
          <w:rFonts w:ascii="Courier New" w:hAnsi="Courier New"/>
          <w:sz w:val="18"/>
        </w:rPr>
        <w:br w:type="textWrapping"/>
      </w:r>
      <w:r>
        <w:rPr>
          <w:rFonts w:ascii="Courier New" w:hAnsi="Courier New"/>
          <w:sz w:val="18"/>
        </w:rPr>
        <w:t>alert tcp 192.168.139.10 any -&gt; 192.168.139.136 80 (</w:t>
      </w:r>
      <w:r>
        <w:rPr>
          <w:rFonts w:ascii="Courier New" w:hAnsi="Courier New"/>
          <w:sz w:val="18"/>
        </w:rPr>
        <w:br w:type="textWrapping"/>
      </w:r>
      <w:r>
        <w:rPr>
          <w:rFonts w:ascii="Courier New" w:hAnsi="Courier New"/>
          <w:sz w:val="18"/>
        </w:rPr>
        <w:t xml:space="preserve">    msg:"检测到重复Content-Length头 - HTTP请求走私攻击";</w:t>
      </w:r>
      <w:r>
        <w:rPr>
          <w:rFonts w:ascii="Courier New" w:hAnsi="Courier New"/>
          <w:sz w:val="18"/>
        </w:rPr>
        <w:br w:type="textWrapping"/>
      </w:r>
      <w:r>
        <w:rPr>
          <w:rFonts w:ascii="Courier New" w:hAnsi="Courier New"/>
          <w:sz w:val="18"/>
        </w:rPr>
        <w:t xml:space="preserve">    flow:to_server,established;</w:t>
      </w:r>
      <w:r>
        <w:rPr>
          <w:rFonts w:ascii="Courier New" w:hAnsi="Courier New"/>
          <w:sz w:val="18"/>
        </w:rPr>
        <w:br w:type="textWrapping"/>
      </w:r>
      <w:r>
        <w:rPr>
          <w:rFonts w:ascii="Courier New" w:hAnsi="Courier New"/>
          <w:sz w:val="18"/>
        </w:rPr>
        <w:t xml:space="preserve">    content:"Content-Length"; sid:1000016; rev:2;</w:t>
      </w:r>
      <w:r>
        <w:rPr>
          <w:rFonts w:ascii="Courier New" w:hAnsi="Courier New"/>
          <w:sz w:val="18"/>
        </w:rPr>
        <w:br w:type="textWrapping"/>
      </w:r>
      <w:r>
        <w:rPr>
          <w:rFonts w:ascii="Courier New" w:hAnsi="Courier New"/>
          <w:sz w:val="18"/>
        </w:rPr>
        <w:t xml:space="preserve">    classtype:web-application-attack; priority:1;)</w:t>
      </w:r>
      <w:r>
        <w:rPr>
          <w:rFonts w:ascii="Courier New" w:hAnsi="Courier New"/>
          <w:sz w:val="18"/>
        </w:rPr>
        <w:br w:type="textWrapping"/>
      </w:r>
      <w:r>
        <w:rPr>
          <w:rFonts w:ascii="Courier New" w:hAnsi="Courier New"/>
          <w:sz w:val="18"/>
        </w:rPr>
        <w:br w:type="textWrapping"/>
      </w:r>
      <w:r>
        <w:rPr>
          <w:rFonts w:ascii="Courier New" w:hAnsi="Courier New"/>
          <w:sz w:val="18"/>
        </w:rPr>
        <w:t># 规则17: SQL注入攻击检测</w:t>
      </w:r>
      <w:r>
        <w:rPr>
          <w:rFonts w:ascii="Courier New" w:hAnsi="Courier New"/>
          <w:sz w:val="18"/>
        </w:rPr>
        <w:br w:type="textWrapping"/>
      </w:r>
      <w:r>
        <w:rPr>
          <w:rFonts w:ascii="Courier New" w:hAnsi="Courier New"/>
          <w:sz w:val="18"/>
        </w:rPr>
        <w:t>alert tcp 192.168.139.10 any -&gt; 192.168.139.136 80 (</w:t>
      </w:r>
      <w:r>
        <w:rPr>
          <w:rFonts w:ascii="Courier New" w:hAnsi="Courier New"/>
          <w:sz w:val="18"/>
        </w:rPr>
        <w:br w:type="textWrapping"/>
      </w:r>
      <w:r>
        <w:rPr>
          <w:rFonts w:ascii="Courier New" w:hAnsi="Courier New"/>
          <w:sz w:val="18"/>
        </w:rPr>
        <w:t xml:space="preserve">    msg:"检测到UNION SELECT语句 - SQL注入攻击流量";</w:t>
      </w:r>
      <w:r>
        <w:rPr>
          <w:rFonts w:ascii="Courier New" w:hAnsi="Courier New"/>
          <w:sz w:val="18"/>
        </w:rPr>
        <w:br w:type="textWrapping"/>
      </w:r>
      <w:r>
        <w:rPr>
          <w:rFonts w:ascii="Courier New" w:hAnsi="Courier New"/>
          <w:sz w:val="18"/>
        </w:rPr>
        <w:t xml:space="preserve">    flow:to_server,established;</w:t>
      </w:r>
      <w:r>
        <w:rPr>
          <w:rFonts w:ascii="Courier New" w:hAnsi="Courier New"/>
          <w:sz w:val="18"/>
        </w:rPr>
        <w:br w:type="textWrapping"/>
      </w:r>
      <w:r>
        <w:rPr>
          <w:rFonts w:ascii="Courier New" w:hAnsi="Courier New"/>
          <w:sz w:val="18"/>
        </w:rPr>
        <w:t xml:space="preserve">    content:"UNION"; content:"SELECT";</w:t>
      </w:r>
      <w:r>
        <w:rPr>
          <w:rFonts w:ascii="Courier New" w:hAnsi="Courier New"/>
          <w:sz w:val="18"/>
        </w:rPr>
        <w:br w:type="textWrapping"/>
      </w:r>
      <w:r>
        <w:rPr>
          <w:rFonts w:ascii="Courier New" w:hAnsi="Courier New"/>
          <w:sz w:val="18"/>
        </w:rPr>
        <w:t xml:space="preserve">    sid:1000017; rev:2;</w:t>
      </w:r>
      <w:r>
        <w:rPr>
          <w:rFonts w:ascii="Courier New" w:hAnsi="Courier New"/>
          <w:sz w:val="18"/>
        </w:rPr>
        <w:br w:type="textWrapping"/>
      </w:r>
      <w:r>
        <w:rPr>
          <w:rFonts w:ascii="Courier New" w:hAnsi="Courier New"/>
          <w:sz w:val="18"/>
        </w:rPr>
        <w:t xml:space="preserve">    classtype:web-application-attack; priority:1;)</w:t>
      </w:r>
    </w:p>
    <w:p w14:paraId="113CD780">
      <w:pPr>
        <w:spacing w:line="360" w:lineRule="exact"/>
        <w:jc w:val="center"/>
      </w:pPr>
      <w:r>
        <w:rPr>
          <w:rFonts w:ascii="Times New Roman" w:hAnsi="Times New Roman" w:eastAsia="宋体"/>
          <w:sz w:val="20"/>
        </w:rPr>
        <w:t>代码1 Snort 3规则集核心代码（高级扫描与HTTP攻击类规则）</w:t>
      </w:r>
    </w:p>
    <w:p w14:paraId="3B995441">
      <w:pPr>
        <w:pStyle w:val="4"/>
        <w:spacing w:line="360" w:lineRule="exact"/>
      </w:pPr>
      <w:bookmarkStart w:id="10" w:name="_Toc20319"/>
      <w:r>
        <w:rPr>
          <w:rFonts w:ascii="Times New Roman" w:hAnsi="Times New Roman" w:eastAsia="黑体"/>
          <w:b/>
          <w:sz w:val="28"/>
        </w:rPr>
        <w:t>3.4 环境搭建与部署</w:t>
      </w:r>
      <w:bookmarkEnd w:id="10"/>
    </w:p>
    <w:p w14:paraId="21034F61">
      <w:pPr>
        <w:spacing w:line="360" w:lineRule="exact"/>
        <w:ind w:firstLine="480"/>
        <w:jc w:val="both"/>
      </w:pPr>
      <w:r>
        <w:rPr>
          <w:rFonts w:ascii="Times New Roman" w:hAnsi="Times New Roman" w:eastAsia="宋体"/>
          <w:sz w:val="24"/>
        </w:rPr>
        <w:t>第一步：在VMware Workstation中创建两台虚拟机，分别安装Kali Linux和Ubuntu 22.04，网络适配器均设置为仅主机模式。第二步：在Ubuntu中安装Snort 3，将设计的25条规则写入local.rules文件。第三步：配置snort.lua加载规则文件，设置监控接口。第四步：启动Snort 3 NIDS模式开始监控。第五步：在Kali上依次执行攻击命令，验证告警效果。</w:t>
      </w:r>
    </w:p>
    <w:p w14:paraId="0C2E5AA9">
      <w:pPr>
        <w:pStyle w:val="3"/>
        <w:spacing w:line="360" w:lineRule="exact"/>
      </w:pPr>
      <w:bookmarkStart w:id="11" w:name="_Toc20499"/>
      <w:r>
        <w:rPr>
          <w:rFonts w:ascii="Times New Roman" w:hAnsi="Times New Roman" w:eastAsia="黑体"/>
          <w:b/>
          <w:sz w:val="32"/>
        </w:rPr>
        <w:t>四、优化点/创新点/改进点</w:t>
      </w:r>
      <w:bookmarkEnd w:id="11"/>
    </w:p>
    <w:p w14:paraId="43969210">
      <w:pPr>
        <w:spacing w:line="360" w:lineRule="exact"/>
        <w:ind w:firstLine="480"/>
        <w:jc w:val="both"/>
      </w:pPr>
      <w:r>
        <w:rPr>
          <w:rFonts w:ascii="Times New Roman" w:hAnsi="Times New Roman" w:eastAsia="宋体"/>
          <w:sz w:val="24"/>
        </w:rPr>
        <w:t>本课题在Snort 3规则集设计过程中，在以下方面进行了创新和优化：</w:t>
      </w:r>
    </w:p>
    <w:p w14:paraId="3C5CA369">
      <w:pPr>
        <w:spacing w:line="360" w:lineRule="exact"/>
        <w:ind w:firstLine="480"/>
        <w:jc w:val="both"/>
      </w:pPr>
      <w:r>
        <w:rPr>
          <w:rFonts w:ascii="Times New Roman" w:hAnsi="Times New Roman" w:eastAsia="宋体"/>
          <w:sz w:val="24"/>
        </w:rPr>
        <w:t>第一，高级扫描检测的全面覆盖。传统Snort规则集在端口扫描检测方面主要覆盖SYN扫描、NULL扫描、FIN扫描和XMAS扫描等标准类型，对TCP零窗口扫描和UDP端口0探测等高级扫描技术覆盖不足。本规则集专门设计了针对零窗口扫描的检测规则（规则10），通过匹配TCP窗口字段为0的特征进行识别，填补了这一检测空白。同时，规则9的SYN半开扫描检测和规则12的UDP端口0探测检测，使高级扫描检测能力更加完善。</w:t>
      </w:r>
    </w:p>
    <w:p w14:paraId="0E19BA6C">
      <w:pPr>
        <w:spacing w:line="360" w:lineRule="exact"/>
        <w:ind w:firstLine="480"/>
        <w:jc w:val="both"/>
      </w:pPr>
      <w:r>
        <w:rPr>
          <w:rFonts w:ascii="Times New Roman" w:hAnsi="Times New Roman" w:eastAsia="宋体"/>
          <w:sz w:val="24"/>
        </w:rPr>
        <w:t>第二，Web应用安全检测的深度扩展。本规则集在Web攻击检测方面从基础的HTTP GET请求检测（规则13）出发，扩展至Curl工具检测（规则14）、TRACE方法检测（规则15）、请求走私检测（规则16），并新增了SQL注入攻击检测（规则17）和XSS跨站脚本攻击检测（规则18）两个重量级的Web应用安全规则。这七条规则形成了从基础监控到高级攻击检测的完整Web安全检测链[8]。</w:t>
      </w:r>
    </w:p>
    <w:p w14:paraId="14941450">
      <w:pPr>
        <w:spacing w:line="360" w:lineRule="exact"/>
        <w:ind w:firstLine="480"/>
        <w:jc w:val="both"/>
      </w:pPr>
      <w:r>
        <w:rPr>
          <w:rFonts w:ascii="Times New Roman" w:hAnsi="Times New Roman" w:eastAsia="宋体"/>
          <w:sz w:val="24"/>
        </w:rPr>
        <w:t>第三，ICMP攻击的精细分类检测。将ICMP探测从简单的一两条规则扩展为五条规则，分别覆盖基本探测（规则1、2）、洪水攻击（规则3）、路由追踪探测（规则4）和死亡之Ping攻击（规则5），实现了对ICMP攻击的精细化分类检测。</w:t>
      </w:r>
    </w:p>
    <w:p w14:paraId="63144F46">
      <w:pPr>
        <w:spacing w:line="360" w:lineRule="exact"/>
        <w:ind w:firstLine="480"/>
        <w:jc w:val="both"/>
      </w:pPr>
      <w:r>
        <w:rPr>
          <w:rFonts w:ascii="Times New Roman" w:hAnsi="Times New Roman" w:eastAsia="宋体"/>
          <w:sz w:val="24"/>
        </w:rPr>
        <w:t>第四，基础协议安全检测的体系化扩展。从单一的Telnet检测扩展至六条规则，覆盖SSH远程管理（规则20、21）、Telnet明文协议（规则22）、SMB共享枚举（规则23）、RDP远程桌面（规则24）和DNS信息搜集（规则25），构建了较为完整的基础协议安全监控体系。</w:t>
      </w:r>
    </w:p>
    <w:p w14:paraId="6E9C15A1">
      <w:pPr>
        <w:spacing w:line="360" w:lineRule="exact"/>
        <w:ind w:firstLine="480"/>
        <w:jc w:val="both"/>
      </w:pPr>
      <w:r>
        <w:rPr>
          <w:rFonts w:ascii="Times New Roman" w:hAnsi="Times New Roman" w:eastAsia="宋体"/>
          <w:sz w:val="24"/>
        </w:rPr>
        <w:t>第五，告警优先级分级的优化。规则集根据攻击危害程度设置三级告警优先级，HTTP请求走私、跨站追踪攻击、SQL注入和XSS攻击等高危Web攻击以及死亡之Ping DoS攻击设置为优先级1，扫描探测类和其他攻击设置为优先级2，常规协议事件设置为优先级3，便于运维人员快速识别和处置高风险告警。</w:t>
      </w:r>
    </w:p>
    <w:p w14:paraId="34BD4893">
      <w:pPr>
        <w:pStyle w:val="3"/>
        <w:spacing w:line="360" w:lineRule="exact"/>
      </w:pPr>
      <w:bookmarkStart w:id="12" w:name="_Toc23981"/>
      <w:r>
        <w:rPr>
          <w:rFonts w:ascii="Times New Roman" w:hAnsi="Times New Roman" w:eastAsia="黑体"/>
          <w:b/>
          <w:sz w:val="32"/>
        </w:rPr>
        <w:t>五、规则集测试</w:t>
      </w:r>
      <w:bookmarkEnd w:id="12"/>
    </w:p>
    <w:p w14:paraId="247C294D">
      <w:pPr>
        <w:pStyle w:val="4"/>
        <w:spacing w:line="360" w:lineRule="exact"/>
      </w:pPr>
      <w:bookmarkStart w:id="13" w:name="_Toc2606"/>
      <w:r>
        <w:rPr>
          <w:rFonts w:ascii="Times New Roman" w:hAnsi="Times New Roman" w:eastAsia="黑体"/>
          <w:b/>
          <w:sz w:val="28"/>
        </w:rPr>
        <w:t>5.1 ICMP攻击测试</w:t>
      </w:r>
      <w:bookmarkEnd w:id="13"/>
    </w:p>
    <w:p w14:paraId="75175644">
      <w:pPr>
        <w:spacing w:line="360" w:lineRule="exact"/>
        <w:ind w:firstLine="480"/>
        <w:jc w:val="both"/>
      </w:pPr>
      <w:r>
        <w:rPr>
          <w:rFonts w:ascii="Times New Roman" w:hAnsi="Times New Roman" w:eastAsia="宋体"/>
          <w:sz w:val="24"/>
        </w:rPr>
        <w:t>在Kali上依次执行标准ping、洪水ping、traceroute和超大ping命令，测试ICMP规则的检测效果：</w:t>
      </w:r>
    </w:p>
    <w:p w14:paraId="20C1E5EC">
      <w:pPr>
        <w:spacing w:line="280" w:lineRule="exact"/>
        <w:ind w:left="454"/>
        <w:jc w:val="left"/>
      </w:pPr>
      <w:r>
        <w:rPr>
          <w:rFonts w:ascii="Courier New" w:hAnsi="Courier New"/>
          <w:sz w:val="18"/>
        </w:rPr>
        <w:t>$ ping 192.168.139.136                  # 测试规则1、2</w:t>
      </w:r>
    </w:p>
    <w:p w14:paraId="560DCE50">
      <w:pPr>
        <w:spacing w:line="280" w:lineRule="exact"/>
        <w:ind w:left="454"/>
        <w:jc w:val="left"/>
      </w:pPr>
      <w:r>
        <w:rPr>
          <w:rFonts w:ascii="Courier New" w:hAnsi="Courier New"/>
          <w:sz w:val="18"/>
        </w:rPr>
        <w:t>$ sudo ping -f 192.168.139.136          # 测试规则3（ICMP洪水）</w:t>
      </w:r>
    </w:p>
    <w:p w14:paraId="30D5211B">
      <w:pPr>
        <w:spacing w:line="280" w:lineRule="exact"/>
        <w:ind w:left="454"/>
        <w:jc w:val="left"/>
      </w:pPr>
      <w:r>
        <w:rPr>
          <w:rFonts w:ascii="Courier New" w:hAnsi="Courier New"/>
          <w:sz w:val="18"/>
        </w:rPr>
        <w:t>$ traceroute -I 192.168.139.136         # 测试规则4（低TTL检测）</w:t>
      </w:r>
    </w:p>
    <w:p w14:paraId="029176AB">
      <w:pPr>
        <w:spacing w:line="280" w:lineRule="exact"/>
        <w:ind w:left="454"/>
        <w:jc w:val="left"/>
      </w:pPr>
      <w:r>
        <w:rPr>
          <w:rFonts w:ascii="Courier New" w:hAnsi="Courier New"/>
          <w:sz w:val="18"/>
        </w:rPr>
        <w:t>$ ping -s 65500 192.168.139.136         # 测试规则5（死亡之Ping）</w:t>
      </w:r>
    </w:p>
    <w:p w14:paraId="62F4A3B6">
      <w:pPr>
        <w:spacing w:line="360" w:lineRule="exact"/>
        <w:ind w:firstLine="480"/>
        <w:jc w:val="both"/>
      </w:pPr>
      <w:r>
        <w:rPr>
          <w:rFonts w:ascii="Times New Roman" w:hAnsi="Times New Roman" w:eastAsia="宋体"/>
          <w:sz w:val="24"/>
        </w:rPr>
        <w:t>测试结果：规则1~5均成功触发对应告警。其中ICMP洪水攻击检测在Kali执行洪水ping后立即产生告警输出，低TTL检测在traceroute执行后成功捕获TTL值较小的ICMP数据包并触发告警，死亡之Ping检测准确识别了超大ICMP数据包。</w:t>
      </w:r>
    </w:p>
    <w:p w14:paraId="1B2B3B16">
      <w:pPr>
        <w:pStyle w:val="4"/>
        <w:spacing w:line="360" w:lineRule="exact"/>
      </w:pPr>
      <w:bookmarkStart w:id="14" w:name="_Toc14195"/>
      <w:r>
        <w:rPr>
          <w:rFonts w:ascii="Times New Roman" w:hAnsi="Times New Roman" w:eastAsia="黑体"/>
          <w:b/>
          <w:sz w:val="28"/>
        </w:rPr>
        <w:t>5.2 高级扫描测试</w:t>
      </w:r>
      <w:bookmarkEnd w:id="14"/>
    </w:p>
    <w:p w14:paraId="67B5748C">
      <w:pPr>
        <w:spacing w:line="360" w:lineRule="exact"/>
        <w:ind w:firstLine="480"/>
        <w:jc w:val="both"/>
      </w:pPr>
      <w:r>
        <w:rPr>
          <w:rFonts w:ascii="Times New Roman" w:hAnsi="Times New Roman" w:eastAsia="宋体"/>
          <w:sz w:val="24"/>
        </w:rPr>
        <w:t>使用Nmap和Hping3执行扫描测试：</w:t>
      </w:r>
    </w:p>
    <w:p w14:paraId="78684D76">
      <w:pPr>
        <w:spacing w:line="280" w:lineRule="exact"/>
        <w:ind w:left="454"/>
        <w:jc w:val="left"/>
      </w:pPr>
      <w:r>
        <w:rPr>
          <w:rFonts w:ascii="Courier New" w:hAnsi="Courier New"/>
          <w:sz w:val="18"/>
        </w:rPr>
        <w:t>$ nmap -sN 192.168.139.136                  # 规则6 NULL扫描</w:t>
      </w:r>
    </w:p>
    <w:p w14:paraId="491ADFF6">
      <w:pPr>
        <w:spacing w:line="280" w:lineRule="exact"/>
        <w:ind w:left="454"/>
        <w:jc w:val="left"/>
      </w:pPr>
      <w:r>
        <w:rPr>
          <w:rFonts w:ascii="Courier New" w:hAnsi="Courier New"/>
          <w:sz w:val="18"/>
        </w:rPr>
        <w:t>$ nmap -sF 192.168.139.136                  # 规则7 FIN扫描</w:t>
      </w:r>
    </w:p>
    <w:p w14:paraId="70793945">
      <w:pPr>
        <w:spacing w:line="280" w:lineRule="exact"/>
        <w:ind w:left="454"/>
        <w:jc w:val="left"/>
      </w:pPr>
      <w:r>
        <w:rPr>
          <w:rFonts w:ascii="Courier New" w:hAnsi="Courier New"/>
          <w:sz w:val="18"/>
        </w:rPr>
        <w:t>$ nmap -sX 192.168.139.136                  # 规则8 XMAS扫描</w:t>
      </w:r>
    </w:p>
    <w:p w14:paraId="223E5624">
      <w:pPr>
        <w:spacing w:line="280" w:lineRule="exact"/>
        <w:ind w:left="454"/>
        <w:jc w:val="left"/>
      </w:pPr>
      <w:r>
        <w:rPr>
          <w:rFonts w:ascii="Courier New" w:hAnsi="Courier New"/>
          <w:sz w:val="18"/>
        </w:rPr>
        <w:t>$ nmap -sS 192.168.139.136                  # 规则9 SYN半开扫描</w:t>
      </w:r>
    </w:p>
    <w:p w14:paraId="1BE4F6BE">
      <w:pPr>
        <w:spacing w:line="280" w:lineRule="exact"/>
        <w:ind w:left="454"/>
        <w:jc w:val="left"/>
      </w:pPr>
      <w:r>
        <w:rPr>
          <w:rFonts w:ascii="Courier New" w:hAnsi="Courier New"/>
          <w:sz w:val="18"/>
        </w:rPr>
        <w:t>$ hping3 -S -w 0 192.168.139.136 -p 80      # 规则10 零窗口扫描</w:t>
      </w:r>
    </w:p>
    <w:p w14:paraId="2E8A7BDB">
      <w:pPr>
        <w:spacing w:line="280" w:lineRule="exact"/>
        <w:ind w:left="454"/>
        <w:jc w:val="left"/>
      </w:pPr>
      <w:r>
        <w:rPr>
          <w:rFonts w:ascii="Courier New" w:hAnsi="Courier New"/>
          <w:sz w:val="18"/>
        </w:rPr>
        <w:t>$ nmap -sU 192.168.139.136                  # 规则11 UDP扫描</w:t>
      </w:r>
    </w:p>
    <w:p w14:paraId="16985712">
      <w:pPr>
        <w:spacing w:line="280" w:lineRule="exact"/>
        <w:ind w:left="454"/>
        <w:jc w:val="left"/>
      </w:pPr>
      <w:r>
        <w:rPr>
          <w:rFonts w:ascii="Courier New" w:hAnsi="Courier New"/>
          <w:sz w:val="18"/>
        </w:rPr>
        <w:t>$ hping3 --udp -p 0 192.168.139.136         # 规则12 UDP端口0探测</w:t>
      </w:r>
    </w:p>
    <w:p w14:paraId="77297C93">
      <w:pPr>
        <w:spacing w:line="360" w:lineRule="exact"/>
        <w:ind w:firstLine="480"/>
        <w:jc w:val="both"/>
      </w:pPr>
      <w:r>
        <w:rPr>
          <w:rFonts w:ascii="Times New Roman" w:hAnsi="Times New Roman" w:eastAsia="宋体"/>
          <w:sz w:val="24"/>
        </w:rPr>
        <w:t>测试结果：规则6~12全部成功触发告警。特别是SYN半开扫描规则（规则9）和TCP零窗口探测规则（规则10），针对Nmap和Hping3构造的异常数据包均能准确识别，验证了高级扫描检测规则的有效性。</w:t>
      </w:r>
    </w:p>
    <w:p w14:paraId="248D9776">
      <w:pPr>
        <w:pStyle w:val="4"/>
        <w:spacing w:line="360" w:lineRule="exact"/>
      </w:pPr>
      <w:bookmarkStart w:id="15" w:name="_Toc16183"/>
      <w:r>
        <w:rPr>
          <w:rFonts w:ascii="Times New Roman" w:hAnsi="Times New Roman" w:eastAsia="黑体"/>
          <w:b/>
          <w:sz w:val="28"/>
        </w:rPr>
        <w:t>5.3 HTTP应用层攻击测试</w:t>
      </w:r>
      <w:bookmarkEnd w:id="15"/>
    </w:p>
    <w:p w14:paraId="79C9116F">
      <w:pPr>
        <w:spacing w:line="360" w:lineRule="exact"/>
        <w:ind w:firstLine="480"/>
        <w:jc w:val="both"/>
      </w:pPr>
      <w:r>
        <w:rPr>
          <w:rFonts w:ascii="Times New Roman" w:hAnsi="Times New Roman" w:eastAsia="宋体"/>
          <w:sz w:val="24"/>
        </w:rPr>
        <w:t>在靶机启动HTTP服务后，在Kali上执行各类HTTP攻击测试：</w:t>
      </w:r>
    </w:p>
    <w:p w14:paraId="12CBF322">
      <w:pPr>
        <w:spacing w:line="280" w:lineRule="exact"/>
        <w:ind w:left="454"/>
        <w:jc w:val="left"/>
      </w:pPr>
      <w:r>
        <w:rPr>
          <w:rFonts w:ascii="Courier New" w:hAnsi="Courier New"/>
          <w:sz w:val="18"/>
        </w:rPr>
        <w:t>$ curl "http://192.168.139.136/"                          # 规则13 GET请求</w:t>
      </w:r>
    </w:p>
    <w:p w14:paraId="1307317F">
      <w:pPr>
        <w:spacing w:line="280" w:lineRule="exact"/>
        <w:ind w:left="454"/>
        <w:jc w:val="left"/>
      </w:pPr>
      <w:r>
        <w:rPr>
          <w:rFonts w:ascii="Courier New" w:hAnsi="Courier New"/>
          <w:sz w:val="18"/>
        </w:rPr>
        <w:t>$ curl -A "CustomBot" http://192.168.139.136/              # 规则14 非浏览器请求</w:t>
      </w:r>
    </w:p>
    <w:p w14:paraId="2165DF99">
      <w:pPr>
        <w:spacing w:line="280" w:lineRule="exact"/>
        <w:ind w:left="454"/>
        <w:jc w:val="left"/>
      </w:pPr>
      <w:r>
        <w:rPr>
          <w:rFonts w:ascii="Courier New" w:hAnsi="Courier New"/>
          <w:sz w:val="18"/>
        </w:rPr>
        <w:t>$ curl -X TRACE http://192.168.139.136/                    # 规则15 TRACE方法</w:t>
      </w:r>
    </w:p>
    <w:p w14:paraId="379A89F9">
      <w:pPr>
        <w:spacing w:line="280" w:lineRule="exact"/>
        <w:ind w:left="454"/>
        <w:jc w:val="left"/>
      </w:pPr>
      <w:r>
        <w:rPr>
          <w:rFonts w:ascii="Courier New" w:hAnsi="Courier New"/>
          <w:sz w:val="18"/>
        </w:rPr>
        <w:t>$ curl -H "Content-Length: 10" -H "Content-Length: 20" \</w:t>
      </w:r>
    </w:p>
    <w:p w14:paraId="46D519C6">
      <w:pPr>
        <w:spacing w:line="280" w:lineRule="exact"/>
        <w:ind w:left="454"/>
        <w:jc w:val="left"/>
      </w:pPr>
      <w:r>
        <w:rPr>
          <w:rFonts w:ascii="Courier New" w:hAnsi="Courier New"/>
          <w:sz w:val="18"/>
        </w:rPr>
        <w:t xml:space="preserve">  http://192.168.139.136/                                  # 规则16 请求走私</w:t>
      </w:r>
    </w:p>
    <w:p w14:paraId="767ED447">
      <w:pPr>
        <w:spacing w:line="280" w:lineRule="exact"/>
        <w:ind w:left="454"/>
        <w:jc w:val="left"/>
      </w:pPr>
      <w:r>
        <w:rPr>
          <w:rFonts w:ascii="Courier New" w:hAnsi="Courier New"/>
          <w:sz w:val="18"/>
        </w:rPr>
        <w:t>$ sqlmap -u "http://192.168.139.136/page?id=1"            # 规则17 SQL注入</w:t>
      </w:r>
    </w:p>
    <w:p w14:paraId="50531772">
      <w:pPr>
        <w:spacing w:line="280" w:lineRule="exact"/>
        <w:ind w:left="454"/>
        <w:jc w:val="left"/>
      </w:pPr>
      <w:r>
        <w:rPr>
          <w:rFonts w:ascii="Courier New" w:hAnsi="Courier New"/>
          <w:sz w:val="18"/>
        </w:rPr>
        <w:t>$ curl "http://192.168.139.136/?q=&lt;script&gt;alert(1)&lt;/script&gt;" \</w:t>
      </w:r>
    </w:p>
    <w:p w14:paraId="6BB6AF41">
      <w:pPr>
        <w:spacing w:line="280" w:lineRule="exact"/>
        <w:ind w:left="454"/>
        <w:jc w:val="left"/>
      </w:pPr>
      <w:r>
        <w:rPr>
          <w:rFonts w:ascii="Courier New" w:hAnsi="Courier New"/>
          <w:sz w:val="18"/>
        </w:rPr>
        <w:t xml:space="preserve">                                                           # 规则18 XSS攻击</w:t>
      </w:r>
    </w:p>
    <w:p w14:paraId="039D450F">
      <w:pPr>
        <w:spacing w:line="360" w:lineRule="exact"/>
        <w:ind w:firstLine="480"/>
        <w:jc w:val="both"/>
      </w:pPr>
      <w:r>
        <w:rPr>
          <w:rFonts w:ascii="Times New Roman" w:hAnsi="Times New Roman" w:eastAsia="宋体"/>
          <w:sz w:val="24"/>
        </w:rPr>
        <w:t>测试结果：七条HTTP攻击检测规则均成功触发告警。规则14成功识别了带有非标准User-Agent的HTTP请求，规则16成功检测了含有两个Content-Length头的异常请求，规则17和规则18分别准确捕获了SQL注入和XSS攻击流量。</w:t>
      </w:r>
    </w:p>
    <w:p w14:paraId="1F6943B0">
      <w:pPr>
        <w:pStyle w:val="4"/>
        <w:spacing w:line="360" w:lineRule="exact"/>
      </w:pPr>
      <w:bookmarkStart w:id="16" w:name="_Toc16734"/>
      <w:r>
        <w:rPr>
          <w:rFonts w:ascii="Times New Roman" w:hAnsi="Times New Roman" w:eastAsia="黑体"/>
          <w:b/>
          <w:sz w:val="28"/>
        </w:rPr>
        <w:t>5.4 基础协议安全测试</w:t>
      </w:r>
      <w:bookmarkEnd w:id="16"/>
    </w:p>
    <w:p w14:paraId="7AB044DA">
      <w:pPr>
        <w:spacing w:line="360" w:lineRule="exact"/>
        <w:ind w:firstLine="480"/>
        <w:jc w:val="both"/>
      </w:pPr>
      <w:r>
        <w:rPr>
          <w:rFonts w:ascii="Times New Roman" w:hAnsi="Times New Roman" w:eastAsia="宋体"/>
          <w:sz w:val="24"/>
        </w:rPr>
        <w:t>在靶机配置并启动对应服务后，在Kali上执行基础协议测试：</w:t>
      </w:r>
    </w:p>
    <w:p w14:paraId="1F161273">
      <w:pPr>
        <w:spacing w:line="280" w:lineRule="exact"/>
        <w:ind w:left="454"/>
        <w:jc w:val="left"/>
      </w:pPr>
      <w:r>
        <w:rPr>
          <w:rFonts w:ascii="Courier New" w:hAnsi="Courier New"/>
          <w:sz w:val="18"/>
        </w:rPr>
        <w:t>$ ssh kali@192.168.139.136                  # 测试规则20、21（SSH）</w:t>
      </w:r>
    </w:p>
    <w:p w14:paraId="40467F83">
      <w:pPr>
        <w:spacing w:line="280" w:lineRule="exact"/>
        <w:ind w:left="454"/>
        <w:jc w:val="left"/>
      </w:pPr>
      <w:r>
        <w:rPr>
          <w:rFonts w:ascii="Courier New" w:hAnsi="Courier New"/>
          <w:sz w:val="18"/>
        </w:rPr>
        <w:t>$ telnet 192.168.139.136                    # 测试规则22（Telnet）</w:t>
      </w:r>
    </w:p>
    <w:p w14:paraId="1D8A4342">
      <w:pPr>
        <w:spacing w:line="280" w:lineRule="exact"/>
        <w:ind w:left="454"/>
        <w:jc w:val="left"/>
      </w:pPr>
      <w:r>
        <w:rPr>
          <w:rFonts w:ascii="Courier New" w:hAnsi="Courier New"/>
          <w:sz w:val="18"/>
        </w:rPr>
        <w:t>$ enum4linux -a 192.168.139.136             # 测试规则23（SMB）</w:t>
      </w:r>
    </w:p>
    <w:p w14:paraId="4B3CAEC3">
      <w:pPr>
        <w:spacing w:line="280" w:lineRule="exact"/>
        <w:ind w:left="454"/>
        <w:jc w:val="left"/>
      </w:pPr>
      <w:r>
        <w:rPr>
          <w:rFonts w:ascii="Courier New" w:hAnsi="Courier New"/>
          <w:sz w:val="18"/>
        </w:rPr>
        <w:t>$ nmap -p 3389 192.168.139.136              # 测试规则24（RDP）</w:t>
      </w:r>
    </w:p>
    <w:p w14:paraId="7787201D">
      <w:pPr>
        <w:spacing w:line="280" w:lineRule="exact"/>
        <w:ind w:left="454"/>
        <w:jc w:val="left"/>
      </w:pPr>
      <w:r>
        <w:rPr>
          <w:rFonts w:ascii="Courier New" w:hAnsi="Courier New"/>
          <w:sz w:val="18"/>
        </w:rPr>
        <w:t>$ dnsrecon -d target.com                    # 测试规则25（DNS）</w:t>
      </w:r>
    </w:p>
    <w:p w14:paraId="08FAF696">
      <w:pPr>
        <w:spacing w:line="360" w:lineRule="exact"/>
        <w:ind w:firstLine="480"/>
        <w:jc w:val="both"/>
      </w:pPr>
      <w:r>
        <w:rPr>
          <w:rFonts w:ascii="Times New Roman" w:hAnsi="Times New Roman" w:eastAsia="宋体"/>
          <w:sz w:val="24"/>
        </w:rPr>
        <w:t>测试结果：规则20~25全部成功触发告警。SSH握手规则和Telnet规则准确识别了远程登录连接，SMB规则捕获了匿名空会话枚举行为，RDP和DNS规则分别识别了远程桌面探测和域名信息搜集活动。</w:t>
      </w:r>
    </w:p>
    <w:p w14:paraId="39E869B3">
      <w:pPr>
        <w:pStyle w:val="4"/>
        <w:spacing w:line="360" w:lineRule="exact"/>
      </w:pPr>
      <w:bookmarkStart w:id="17" w:name="_Toc22017"/>
      <w:r>
        <w:rPr>
          <w:rFonts w:ascii="Times New Roman" w:hAnsi="Times New Roman" w:eastAsia="黑体"/>
          <w:b/>
          <w:sz w:val="28"/>
        </w:rPr>
        <w:t>5.5 测试结果汇总</w:t>
      </w:r>
      <w:bookmarkEnd w:id="17"/>
    </w:p>
    <w:p w14:paraId="56815132">
      <w:pPr>
        <w:spacing w:line="360" w:lineRule="exact"/>
        <w:ind w:firstLine="480"/>
        <w:jc w:val="both"/>
      </w:pPr>
      <w:r>
        <w:rPr>
          <w:rFonts w:ascii="Times New Roman" w:hAnsi="Times New Roman" w:eastAsia="宋体"/>
          <w:sz w:val="24"/>
        </w:rPr>
        <w:t>将所有25条规则的测试结果汇总如下：</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1"/>
        <w:gridCol w:w="2161"/>
        <w:gridCol w:w="2161"/>
        <w:gridCol w:w="2161"/>
      </w:tblGrid>
      <w:tr w14:paraId="16D3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5929377E">
            <w:pPr>
              <w:jc w:val="center"/>
            </w:pPr>
            <w:r>
              <w:rPr>
                <w:rFonts w:ascii="Times New Roman" w:hAnsi="Times New Roman" w:eastAsia="宋体"/>
                <w:b/>
                <w:sz w:val="20"/>
              </w:rPr>
              <w:t>规则编号</w:t>
            </w:r>
          </w:p>
        </w:tc>
        <w:tc>
          <w:tcPr>
            <w:tcW w:w="2161" w:type="dxa"/>
          </w:tcPr>
          <w:p w14:paraId="23E8A853">
            <w:pPr>
              <w:jc w:val="center"/>
            </w:pPr>
            <w:r>
              <w:rPr>
                <w:rFonts w:ascii="Times New Roman" w:hAnsi="Times New Roman" w:eastAsia="宋体"/>
                <w:b/>
                <w:sz w:val="20"/>
              </w:rPr>
              <w:t>规则名称</w:t>
            </w:r>
          </w:p>
        </w:tc>
        <w:tc>
          <w:tcPr>
            <w:tcW w:w="2161" w:type="dxa"/>
          </w:tcPr>
          <w:p w14:paraId="265AD504">
            <w:pPr>
              <w:jc w:val="center"/>
            </w:pPr>
            <w:r>
              <w:rPr>
                <w:rFonts w:ascii="Times New Roman" w:hAnsi="Times New Roman" w:eastAsia="宋体"/>
                <w:b/>
                <w:sz w:val="20"/>
              </w:rPr>
              <w:t>攻击命令</w:t>
            </w:r>
          </w:p>
        </w:tc>
        <w:tc>
          <w:tcPr>
            <w:tcW w:w="2161" w:type="dxa"/>
          </w:tcPr>
          <w:p w14:paraId="3465ABBF">
            <w:pPr>
              <w:jc w:val="center"/>
            </w:pPr>
            <w:r>
              <w:rPr>
                <w:rFonts w:ascii="Times New Roman" w:hAnsi="Times New Roman" w:eastAsia="宋体"/>
                <w:b/>
                <w:sz w:val="20"/>
              </w:rPr>
              <w:t>结果</w:t>
            </w:r>
          </w:p>
        </w:tc>
      </w:tr>
      <w:tr w14:paraId="1A7B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5F7AD76C">
            <w:pPr>
              <w:jc w:val="center"/>
            </w:pPr>
            <w:r>
              <w:rPr>
                <w:rFonts w:ascii="Times New Roman" w:hAnsi="Times New Roman" w:eastAsia="宋体"/>
                <w:sz w:val="20"/>
              </w:rPr>
              <w:t>sid:1000001</w:t>
            </w:r>
          </w:p>
        </w:tc>
        <w:tc>
          <w:tcPr>
            <w:tcW w:w="2161" w:type="dxa"/>
          </w:tcPr>
          <w:p w14:paraId="2BF78DA1">
            <w:pPr>
              <w:jc w:val="center"/>
            </w:pPr>
            <w:r>
              <w:rPr>
                <w:rFonts w:ascii="Times New Roman" w:hAnsi="Times New Roman" w:eastAsia="宋体"/>
                <w:sz w:val="20"/>
              </w:rPr>
              <w:t>ICMP Echo Request</w:t>
            </w:r>
          </w:p>
        </w:tc>
        <w:tc>
          <w:tcPr>
            <w:tcW w:w="2161" w:type="dxa"/>
          </w:tcPr>
          <w:p w14:paraId="35E7FAF4">
            <w:pPr>
              <w:jc w:val="center"/>
            </w:pPr>
            <w:r>
              <w:rPr>
                <w:rFonts w:ascii="Times New Roman" w:hAnsi="Times New Roman" w:eastAsia="宋体"/>
                <w:sz w:val="20"/>
              </w:rPr>
              <w:t>ping</w:t>
            </w:r>
          </w:p>
        </w:tc>
        <w:tc>
          <w:tcPr>
            <w:tcW w:w="2161" w:type="dxa"/>
          </w:tcPr>
          <w:p w14:paraId="2B070F12">
            <w:pPr>
              <w:jc w:val="center"/>
            </w:pPr>
            <w:r>
              <w:rPr>
                <w:rFonts w:ascii="Times New Roman" w:hAnsi="Times New Roman" w:eastAsia="宋体"/>
                <w:sz w:val="20"/>
              </w:rPr>
              <w:t>✓</w:t>
            </w:r>
          </w:p>
        </w:tc>
      </w:tr>
      <w:tr w14:paraId="2020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3B24A92F">
            <w:pPr>
              <w:jc w:val="center"/>
            </w:pPr>
            <w:r>
              <w:rPr>
                <w:rFonts w:ascii="Times New Roman" w:hAnsi="Times New Roman" w:eastAsia="宋体"/>
                <w:sz w:val="20"/>
              </w:rPr>
              <w:t>sid:1000002</w:t>
            </w:r>
          </w:p>
        </w:tc>
        <w:tc>
          <w:tcPr>
            <w:tcW w:w="2161" w:type="dxa"/>
          </w:tcPr>
          <w:p w14:paraId="0D1BA969">
            <w:pPr>
              <w:jc w:val="center"/>
            </w:pPr>
            <w:r>
              <w:rPr>
                <w:rFonts w:ascii="Times New Roman" w:hAnsi="Times New Roman" w:eastAsia="宋体"/>
                <w:sz w:val="20"/>
              </w:rPr>
              <w:t>ICMP Echo Reply</w:t>
            </w:r>
          </w:p>
        </w:tc>
        <w:tc>
          <w:tcPr>
            <w:tcW w:w="2161" w:type="dxa"/>
          </w:tcPr>
          <w:p w14:paraId="2FCB91EB">
            <w:pPr>
              <w:jc w:val="center"/>
            </w:pPr>
            <w:r>
              <w:rPr>
                <w:rFonts w:ascii="Times New Roman" w:hAnsi="Times New Roman" w:eastAsia="宋体"/>
                <w:sz w:val="20"/>
              </w:rPr>
              <w:t>ping回复</w:t>
            </w:r>
          </w:p>
        </w:tc>
        <w:tc>
          <w:tcPr>
            <w:tcW w:w="2161" w:type="dxa"/>
          </w:tcPr>
          <w:p w14:paraId="6BD8EF2D">
            <w:pPr>
              <w:jc w:val="center"/>
            </w:pPr>
            <w:r>
              <w:rPr>
                <w:rFonts w:ascii="Times New Roman" w:hAnsi="Times New Roman" w:eastAsia="宋体"/>
                <w:sz w:val="20"/>
              </w:rPr>
              <w:t>✓</w:t>
            </w:r>
          </w:p>
        </w:tc>
      </w:tr>
      <w:tr w14:paraId="05C8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25E8D2A7">
            <w:pPr>
              <w:jc w:val="center"/>
            </w:pPr>
            <w:r>
              <w:rPr>
                <w:rFonts w:ascii="Times New Roman" w:hAnsi="Times New Roman" w:eastAsia="宋体"/>
                <w:sz w:val="20"/>
              </w:rPr>
              <w:t>sid:1000003</w:t>
            </w:r>
          </w:p>
        </w:tc>
        <w:tc>
          <w:tcPr>
            <w:tcW w:w="2161" w:type="dxa"/>
          </w:tcPr>
          <w:p w14:paraId="116EF4F5">
            <w:pPr>
              <w:jc w:val="center"/>
            </w:pPr>
            <w:r>
              <w:rPr>
                <w:rFonts w:ascii="Times New Roman" w:hAnsi="Times New Roman" w:eastAsia="宋体"/>
                <w:sz w:val="20"/>
              </w:rPr>
              <w:t>ICMP洪水攻击</w:t>
            </w:r>
          </w:p>
        </w:tc>
        <w:tc>
          <w:tcPr>
            <w:tcW w:w="2161" w:type="dxa"/>
          </w:tcPr>
          <w:p w14:paraId="74963B20">
            <w:pPr>
              <w:jc w:val="center"/>
            </w:pPr>
            <w:r>
              <w:rPr>
                <w:rFonts w:ascii="Times New Roman" w:hAnsi="Times New Roman" w:eastAsia="宋体"/>
                <w:sz w:val="20"/>
              </w:rPr>
              <w:t>ping -f</w:t>
            </w:r>
          </w:p>
        </w:tc>
        <w:tc>
          <w:tcPr>
            <w:tcW w:w="2161" w:type="dxa"/>
          </w:tcPr>
          <w:p w14:paraId="413B80FD">
            <w:pPr>
              <w:jc w:val="center"/>
            </w:pPr>
            <w:r>
              <w:rPr>
                <w:rFonts w:ascii="Times New Roman" w:hAnsi="Times New Roman" w:eastAsia="宋体"/>
                <w:sz w:val="20"/>
              </w:rPr>
              <w:t>✓</w:t>
            </w:r>
          </w:p>
        </w:tc>
      </w:tr>
      <w:tr w14:paraId="622C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146694FA">
            <w:pPr>
              <w:jc w:val="center"/>
            </w:pPr>
            <w:r>
              <w:rPr>
                <w:rFonts w:ascii="Times New Roman" w:hAnsi="Times New Roman" w:eastAsia="宋体"/>
                <w:sz w:val="20"/>
              </w:rPr>
              <w:t>sid:1000004</w:t>
            </w:r>
          </w:p>
        </w:tc>
        <w:tc>
          <w:tcPr>
            <w:tcW w:w="2161" w:type="dxa"/>
          </w:tcPr>
          <w:p w14:paraId="4A45A9B6">
            <w:pPr>
              <w:jc w:val="center"/>
            </w:pPr>
            <w:r>
              <w:rPr>
                <w:rFonts w:ascii="Times New Roman" w:hAnsi="Times New Roman" w:eastAsia="宋体"/>
                <w:sz w:val="20"/>
              </w:rPr>
              <w:t>低TTL ICMP追踪</w:t>
            </w:r>
          </w:p>
        </w:tc>
        <w:tc>
          <w:tcPr>
            <w:tcW w:w="2161" w:type="dxa"/>
          </w:tcPr>
          <w:p w14:paraId="75BF4104">
            <w:pPr>
              <w:jc w:val="center"/>
            </w:pPr>
            <w:r>
              <w:rPr>
                <w:rFonts w:ascii="Times New Roman" w:hAnsi="Times New Roman" w:eastAsia="宋体"/>
                <w:sz w:val="20"/>
              </w:rPr>
              <w:t>traceroute -I</w:t>
            </w:r>
          </w:p>
        </w:tc>
        <w:tc>
          <w:tcPr>
            <w:tcW w:w="2161" w:type="dxa"/>
          </w:tcPr>
          <w:p w14:paraId="0E99A6CF">
            <w:pPr>
              <w:jc w:val="center"/>
            </w:pPr>
            <w:r>
              <w:rPr>
                <w:rFonts w:ascii="Times New Roman" w:hAnsi="Times New Roman" w:eastAsia="宋体"/>
                <w:sz w:val="20"/>
              </w:rPr>
              <w:t>✓</w:t>
            </w:r>
          </w:p>
        </w:tc>
      </w:tr>
      <w:tr w14:paraId="391F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63D44EA3">
            <w:pPr>
              <w:jc w:val="center"/>
            </w:pPr>
            <w:r>
              <w:rPr>
                <w:rFonts w:ascii="Times New Roman" w:hAnsi="Times New Roman" w:eastAsia="宋体"/>
                <w:sz w:val="20"/>
              </w:rPr>
              <w:t>sid:1000005</w:t>
            </w:r>
          </w:p>
        </w:tc>
        <w:tc>
          <w:tcPr>
            <w:tcW w:w="2161" w:type="dxa"/>
          </w:tcPr>
          <w:p w14:paraId="135087DC">
            <w:pPr>
              <w:jc w:val="center"/>
            </w:pPr>
            <w:r>
              <w:rPr>
                <w:rFonts w:ascii="Times New Roman" w:hAnsi="Times New Roman" w:eastAsia="宋体"/>
                <w:sz w:val="20"/>
              </w:rPr>
              <w:t>死亡之Ping(超大ICMP)</w:t>
            </w:r>
          </w:p>
        </w:tc>
        <w:tc>
          <w:tcPr>
            <w:tcW w:w="2161" w:type="dxa"/>
          </w:tcPr>
          <w:p w14:paraId="498BE667">
            <w:pPr>
              <w:jc w:val="center"/>
            </w:pPr>
            <w:r>
              <w:rPr>
                <w:rFonts w:ascii="Times New Roman" w:hAnsi="Times New Roman" w:eastAsia="宋体"/>
                <w:sz w:val="20"/>
              </w:rPr>
              <w:t>ping -s 65500</w:t>
            </w:r>
          </w:p>
        </w:tc>
        <w:tc>
          <w:tcPr>
            <w:tcW w:w="2161" w:type="dxa"/>
          </w:tcPr>
          <w:p w14:paraId="02675B24">
            <w:pPr>
              <w:jc w:val="center"/>
            </w:pPr>
            <w:r>
              <w:rPr>
                <w:rFonts w:ascii="Times New Roman" w:hAnsi="Times New Roman" w:eastAsia="宋体"/>
                <w:sz w:val="20"/>
              </w:rPr>
              <w:t>✓</w:t>
            </w:r>
          </w:p>
        </w:tc>
      </w:tr>
      <w:tr w14:paraId="66F5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2B492779">
            <w:pPr>
              <w:jc w:val="center"/>
            </w:pPr>
            <w:r>
              <w:rPr>
                <w:rFonts w:ascii="Times New Roman" w:hAnsi="Times New Roman" w:eastAsia="宋体"/>
                <w:sz w:val="20"/>
              </w:rPr>
              <w:t>sid:1000006</w:t>
            </w:r>
          </w:p>
        </w:tc>
        <w:tc>
          <w:tcPr>
            <w:tcW w:w="2161" w:type="dxa"/>
          </w:tcPr>
          <w:p w14:paraId="3A3E71E7">
            <w:pPr>
              <w:jc w:val="center"/>
            </w:pPr>
            <w:r>
              <w:rPr>
                <w:rFonts w:ascii="Times New Roman" w:hAnsi="Times New Roman" w:eastAsia="宋体"/>
                <w:sz w:val="20"/>
              </w:rPr>
              <w:t>NULL扫描</w:t>
            </w:r>
          </w:p>
        </w:tc>
        <w:tc>
          <w:tcPr>
            <w:tcW w:w="2161" w:type="dxa"/>
          </w:tcPr>
          <w:p w14:paraId="7A23A4BD">
            <w:pPr>
              <w:jc w:val="center"/>
            </w:pPr>
            <w:r>
              <w:rPr>
                <w:rFonts w:ascii="Times New Roman" w:hAnsi="Times New Roman" w:eastAsia="宋体"/>
                <w:sz w:val="20"/>
              </w:rPr>
              <w:t>nmap -sN</w:t>
            </w:r>
          </w:p>
        </w:tc>
        <w:tc>
          <w:tcPr>
            <w:tcW w:w="2161" w:type="dxa"/>
          </w:tcPr>
          <w:p w14:paraId="677CE312">
            <w:pPr>
              <w:jc w:val="center"/>
            </w:pPr>
            <w:r>
              <w:rPr>
                <w:rFonts w:ascii="Times New Roman" w:hAnsi="Times New Roman" w:eastAsia="宋体"/>
                <w:sz w:val="20"/>
              </w:rPr>
              <w:t>✓</w:t>
            </w:r>
          </w:p>
        </w:tc>
      </w:tr>
      <w:tr w14:paraId="7184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6ABFDCE7">
            <w:pPr>
              <w:jc w:val="center"/>
            </w:pPr>
            <w:r>
              <w:rPr>
                <w:rFonts w:ascii="Times New Roman" w:hAnsi="Times New Roman" w:eastAsia="宋体"/>
                <w:sz w:val="20"/>
              </w:rPr>
              <w:t>sid:1000007</w:t>
            </w:r>
          </w:p>
        </w:tc>
        <w:tc>
          <w:tcPr>
            <w:tcW w:w="2161" w:type="dxa"/>
          </w:tcPr>
          <w:p w14:paraId="5A3C2293">
            <w:pPr>
              <w:jc w:val="center"/>
            </w:pPr>
            <w:r>
              <w:rPr>
                <w:rFonts w:ascii="Times New Roman" w:hAnsi="Times New Roman" w:eastAsia="宋体"/>
                <w:sz w:val="20"/>
              </w:rPr>
              <w:t>FIN扫描</w:t>
            </w:r>
          </w:p>
        </w:tc>
        <w:tc>
          <w:tcPr>
            <w:tcW w:w="2161" w:type="dxa"/>
          </w:tcPr>
          <w:p w14:paraId="1933F8C0">
            <w:pPr>
              <w:jc w:val="center"/>
            </w:pPr>
            <w:r>
              <w:rPr>
                <w:rFonts w:ascii="Times New Roman" w:hAnsi="Times New Roman" w:eastAsia="宋体"/>
                <w:sz w:val="20"/>
              </w:rPr>
              <w:t>nmap -sF</w:t>
            </w:r>
          </w:p>
        </w:tc>
        <w:tc>
          <w:tcPr>
            <w:tcW w:w="2161" w:type="dxa"/>
          </w:tcPr>
          <w:p w14:paraId="401B7ABF">
            <w:pPr>
              <w:jc w:val="center"/>
            </w:pPr>
            <w:r>
              <w:rPr>
                <w:rFonts w:ascii="Times New Roman" w:hAnsi="Times New Roman" w:eastAsia="宋体"/>
                <w:sz w:val="20"/>
              </w:rPr>
              <w:t>✓</w:t>
            </w:r>
          </w:p>
        </w:tc>
      </w:tr>
      <w:tr w14:paraId="424C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35C10405">
            <w:pPr>
              <w:jc w:val="center"/>
            </w:pPr>
            <w:r>
              <w:rPr>
                <w:rFonts w:ascii="Times New Roman" w:hAnsi="Times New Roman" w:eastAsia="宋体"/>
                <w:sz w:val="20"/>
              </w:rPr>
              <w:t>sid:1000008</w:t>
            </w:r>
          </w:p>
        </w:tc>
        <w:tc>
          <w:tcPr>
            <w:tcW w:w="2161" w:type="dxa"/>
          </w:tcPr>
          <w:p w14:paraId="15962ED1">
            <w:pPr>
              <w:jc w:val="center"/>
            </w:pPr>
            <w:r>
              <w:rPr>
                <w:rFonts w:ascii="Times New Roman" w:hAnsi="Times New Roman" w:eastAsia="宋体"/>
                <w:sz w:val="20"/>
              </w:rPr>
              <w:t>XMAS扫描</w:t>
            </w:r>
          </w:p>
        </w:tc>
        <w:tc>
          <w:tcPr>
            <w:tcW w:w="2161" w:type="dxa"/>
          </w:tcPr>
          <w:p w14:paraId="2C9B7918">
            <w:pPr>
              <w:jc w:val="center"/>
            </w:pPr>
            <w:r>
              <w:rPr>
                <w:rFonts w:ascii="Times New Roman" w:hAnsi="Times New Roman" w:eastAsia="宋体"/>
                <w:sz w:val="20"/>
              </w:rPr>
              <w:t>nmap -sX</w:t>
            </w:r>
          </w:p>
        </w:tc>
        <w:tc>
          <w:tcPr>
            <w:tcW w:w="2161" w:type="dxa"/>
          </w:tcPr>
          <w:p w14:paraId="01E02259">
            <w:pPr>
              <w:jc w:val="center"/>
            </w:pPr>
            <w:r>
              <w:rPr>
                <w:rFonts w:ascii="Times New Roman" w:hAnsi="Times New Roman" w:eastAsia="宋体"/>
                <w:sz w:val="20"/>
              </w:rPr>
              <w:t>✓</w:t>
            </w:r>
          </w:p>
        </w:tc>
      </w:tr>
      <w:tr w14:paraId="27B6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7D0A7D2A">
            <w:pPr>
              <w:jc w:val="center"/>
            </w:pPr>
            <w:r>
              <w:rPr>
                <w:rFonts w:ascii="Times New Roman" w:hAnsi="Times New Roman" w:eastAsia="宋体"/>
                <w:sz w:val="20"/>
              </w:rPr>
              <w:t>sid:1000009</w:t>
            </w:r>
          </w:p>
        </w:tc>
        <w:tc>
          <w:tcPr>
            <w:tcW w:w="2161" w:type="dxa"/>
          </w:tcPr>
          <w:p w14:paraId="03E24B5A">
            <w:pPr>
              <w:jc w:val="center"/>
            </w:pPr>
            <w:r>
              <w:rPr>
                <w:rFonts w:ascii="Times New Roman" w:hAnsi="Times New Roman" w:eastAsia="宋体"/>
                <w:sz w:val="20"/>
              </w:rPr>
              <w:t>SYN半开扫描</w:t>
            </w:r>
          </w:p>
        </w:tc>
        <w:tc>
          <w:tcPr>
            <w:tcW w:w="2161" w:type="dxa"/>
          </w:tcPr>
          <w:p w14:paraId="410A5D85">
            <w:pPr>
              <w:jc w:val="center"/>
            </w:pPr>
            <w:r>
              <w:rPr>
                <w:rFonts w:ascii="Times New Roman" w:hAnsi="Times New Roman" w:eastAsia="宋体"/>
                <w:sz w:val="20"/>
              </w:rPr>
              <w:t>nmap -sS</w:t>
            </w:r>
          </w:p>
        </w:tc>
        <w:tc>
          <w:tcPr>
            <w:tcW w:w="2161" w:type="dxa"/>
          </w:tcPr>
          <w:p w14:paraId="5555B6A5">
            <w:pPr>
              <w:jc w:val="center"/>
            </w:pPr>
            <w:r>
              <w:rPr>
                <w:rFonts w:ascii="Times New Roman" w:hAnsi="Times New Roman" w:eastAsia="宋体"/>
                <w:sz w:val="20"/>
              </w:rPr>
              <w:t>✓</w:t>
            </w:r>
          </w:p>
        </w:tc>
      </w:tr>
      <w:tr w14:paraId="37E0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7D6FB253">
            <w:pPr>
              <w:jc w:val="center"/>
            </w:pPr>
            <w:r>
              <w:rPr>
                <w:rFonts w:ascii="Times New Roman" w:hAnsi="Times New Roman" w:eastAsia="宋体"/>
                <w:sz w:val="20"/>
              </w:rPr>
              <w:t>sid:1000010</w:t>
            </w:r>
          </w:p>
        </w:tc>
        <w:tc>
          <w:tcPr>
            <w:tcW w:w="2161" w:type="dxa"/>
          </w:tcPr>
          <w:p w14:paraId="7C346C88">
            <w:pPr>
              <w:jc w:val="center"/>
            </w:pPr>
            <w:r>
              <w:rPr>
                <w:rFonts w:ascii="Times New Roman" w:hAnsi="Times New Roman" w:eastAsia="宋体"/>
                <w:sz w:val="20"/>
              </w:rPr>
              <w:t>TCP零窗口探测</w:t>
            </w:r>
          </w:p>
        </w:tc>
        <w:tc>
          <w:tcPr>
            <w:tcW w:w="2161" w:type="dxa"/>
          </w:tcPr>
          <w:p w14:paraId="22867E43">
            <w:pPr>
              <w:jc w:val="center"/>
            </w:pPr>
            <w:r>
              <w:rPr>
                <w:rFonts w:ascii="Times New Roman" w:hAnsi="Times New Roman" w:eastAsia="宋体"/>
                <w:sz w:val="20"/>
              </w:rPr>
              <w:t>hping3 -S -w 0</w:t>
            </w:r>
          </w:p>
        </w:tc>
        <w:tc>
          <w:tcPr>
            <w:tcW w:w="2161" w:type="dxa"/>
          </w:tcPr>
          <w:p w14:paraId="74A70848">
            <w:pPr>
              <w:jc w:val="center"/>
            </w:pPr>
            <w:r>
              <w:rPr>
                <w:rFonts w:ascii="Times New Roman" w:hAnsi="Times New Roman" w:eastAsia="宋体"/>
                <w:sz w:val="20"/>
              </w:rPr>
              <w:t>✓</w:t>
            </w:r>
          </w:p>
        </w:tc>
      </w:tr>
      <w:tr w14:paraId="3AAC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0A98D75C">
            <w:pPr>
              <w:jc w:val="center"/>
            </w:pPr>
            <w:r>
              <w:rPr>
                <w:rFonts w:ascii="Times New Roman" w:hAnsi="Times New Roman" w:eastAsia="宋体"/>
                <w:sz w:val="20"/>
              </w:rPr>
              <w:t>sid:1000011</w:t>
            </w:r>
          </w:p>
        </w:tc>
        <w:tc>
          <w:tcPr>
            <w:tcW w:w="2161" w:type="dxa"/>
          </w:tcPr>
          <w:p w14:paraId="49C866BB">
            <w:pPr>
              <w:jc w:val="center"/>
            </w:pPr>
            <w:r>
              <w:rPr>
                <w:rFonts w:ascii="Times New Roman" w:hAnsi="Times New Roman" w:eastAsia="宋体"/>
                <w:sz w:val="20"/>
              </w:rPr>
              <w:t>UDP端口扫描</w:t>
            </w:r>
          </w:p>
        </w:tc>
        <w:tc>
          <w:tcPr>
            <w:tcW w:w="2161" w:type="dxa"/>
          </w:tcPr>
          <w:p w14:paraId="65070B5F">
            <w:pPr>
              <w:jc w:val="center"/>
            </w:pPr>
            <w:r>
              <w:rPr>
                <w:rFonts w:ascii="Times New Roman" w:hAnsi="Times New Roman" w:eastAsia="宋体"/>
                <w:sz w:val="20"/>
              </w:rPr>
              <w:t>nmap -sU</w:t>
            </w:r>
          </w:p>
        </w:tc>
        <w:tc>
          <w:tcPr>
            <w:tcW w:w="2161" w:type="dxa"/>
          </w:tcPr>
          <w:p w14:paraId="0EB0C3BF">
            <w:pPr>
              <w:jc w:val="center"/>
            </w:pPr>
            <w:r>
              <w:rPr>
                <w:rFonts w:ascii="Times New Roman" w:hAnsi="Times New Roman" w:eastAsia="宋体"/>
                <w:sz w:val="20"/>
              </w:rPr>
              <w:t>✓</w:t>
            </w:r>
          </w:p>
        </w:tc>
      </w:tr>
      <w:tr w14:paraId="4528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2B2331A6">
            <w:pPr>
              <w:jc w:val="center"/>
            </w:pPr>
            <w:r>
              <w:rPr>
                <w:rFonts w:ascii="Times New Roman" w:hAnsi="Times New Roman" w:eastAsia="宋体"/>
                <w:sz w:val="20"/>
              </w:rPr>
              <w:t>sid:1000012</w:t>
            </w:r>
          </w:p>
        </w:tc>
        <w:tc>
          <w:tcPr>
            <w:tcW w:w="2161" w:type="dxa"/>
          </w:tcPr>
          <w:p w14:paraId="49F91DEA">
            <w:pPr>
              <w:jc w:val="center"/>
            </w:pPr>
            <w:r>
              <w:rPr>
                <w:rFonts w:ascii="Times New Roman" w:hAnsi="Times New Roman" w:eastAsia="宋体"/>
                <w:sz w:val="20"/>
              </w:rPr>
              <w:t>UDP端口0探测</w:t>
            </w:r>
          </w:p>
        </w:tc>
        <w:tc>
          <w:tcPr>
            <w:tcW w:w="2161" w:type="dxa"/>
          </w:tcPr>
          <w:p w14:paraId="23CF193B">
            <w:pPr>
              <w:jc w:val="center"/>
            </w:pPr>
            <w:r>
              <w:rPr>
                <w:rFonts w:ascii="Times New Roman" w:hAnsi="Times New Roman" w:eastAsia="宋体"/>
                <w:sz w:val="20"/>
              </w:rPr>
              <w:t>hping3 --udp -p 0</w:t>
            </w:r>
          </w:p>
        </w:tc>
        <w:tc>
          <w:tcPr>
            <w:tcW w:w="2161" w:type="dxa"/>
          </w:tcPr>
          <w:p w14:paraId="1E48285C">
            <w:pPr>
              <w:jc w:val="center"/>
            </w:pPr>
            <w:r>
              <w:rPr>
                <w:rFonts w:ascii="Times New Roman" w:hAnsi="Times New Roman" w:eastAsia="宋体"/>
                <w:sz w:val="20"/>
              </w:rPr>
              <w:t>✓</w:t>
            </w:r>
          </w:p>
        </w:tc>
      </w:tr>
      <w:tr w14:paraId="51D9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35266941">
            <w:pPr>
              <w:jc w:val="center"/>
            </w:pPr>
            <w:r>
              <w:rPr>
                <w:rFonts w:ascii="Times New Roman" w:hAnsi="Times New Roman" w:eastAsia="宋体"/>
                <w:sz w:val="20"/>
              </w:rPr>
              <w:t>sid:1000013</w:t>
            </w:r>
          </w:p>
        </w:tc>
        <w:tc>
          <w:tcPr>
            <w:tcW w:w="2161" w:type="dxa"/>
          </w:tcPr>
          <w:p w14:paraId="7DFA4811">
            <w:pPr>
              <w:jc w:val="center"/>
            </w:pPr>
            <w:r>
              <w:rPr>
                <w:rFonts w:ascii="Times New Roman" w:hAnsi="Times New Roman" w:eastAsia="宋体"/>
                <w:sz w:val="20"/>
              </w:rPr>
              <w:t>HTTP GET请求</w:t>
            </w:r>
          </w:p>
        </w:tc>
        <w:tc>
          <w:tcPr>
            <w:tcW w:w="2161" w:type="dxa"/>
          </w:tcPr>
          <w:p w14:paraId="71BD960B">
            <w:pPr>
              <w:jc w:val="center"/>
            </w:pPr>
            <w:r>
              <w:rPr>
                <w:rFonts w:ascii="Times New Roman" w:hAnsi="Times New Roman" w:eastAsia="宋体"/>
                <w:sz w:val="20"/>
              </w:rPr>
              <w:t>curl GET</w:t>
            </w:r>
          </w:p>
        </w:tc>
        <w:tc>
          <w:tcPr>
            <w:tcW w:w="2161" w:type="dxa"/>
          </w:tcPr>
          <w:p w14:paraId="2DD17475">
            <w:pPr>
              <w:jc w:val="center"/>
            </w:pPr>
            <w:r>
              <w:rPr>
                <w:rFonts w:ascii="Times New Roman" w:hAnsi="Times New Roman" w:eastAsia="宋体"/>
                <w:sz w:val="20"/>
              </w:rPr>
              <w:t>✓</w:t>
            </w:r>
          </w:p>
        </w:tc>
      </w:tr>
      <w:tr w14:paraId="4420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04BEB55B">
            <w:pPr>
              <w:jc w:val="center"/>
            </w:pPr>
            <w:r>
              <w:rPr>
                <w:rFonts w:ascii="Times New Roman" w:hAnsi="Times New Roman" w:eastAsia="宋体"/>
                <w:sz w:val="20"/>
              </w:rPr>
              <w:t>sid:1000014</w:t>
            </w:r>
          </w:p>
        </w:tc>
        <w:tc>
          <w:tcPr>
            <w:tcW w:w="2161" w:type="dxa"/>
          </w:tcPr>
          <w:p w14:paraId="1083CCC3">
            <w:pPr>
              <w:jc w:val="center"/>
            </w:pPr>
            <w:r>
              <w:rPr>
                <w:rFonts w:ascii="Times New Roman" w:hAnsi="Times New Roman" w:eastAsia="宋体"/>
                <w:sz w:val="20"/>
              </w:rPr>
              <w:t>非浏览器HTTP请求</w:t>
            </w:r>
          </w:p>
        </w:tc>
        <w:tc>
          <w:tcPr>
            <w:tcW w:w="2161" w:type="dxa"/>
          </w:tcPr>
          <w:p w14:paraId="1C5338F2">
            <w:pPr>
              <w:jc w:val="center"/>
            </w:pPr>
            <w:r>
              <w:rPr>
                <w:rFonts w:ascii="Times New Roman" w:hAnsi="Times New Roman" w:eastAsia="宋体"/>
                <w:sz w:val="20"/>
              </w:rPr>
              <w:t>curl -A CustomBot</w:t>
            </w:r>
          </w:p>
        </w:tc>
        <w:tc>
          <w:tcPr>
            <w:tcW w:w="2161" w:type="dxa"/>
          </w:tcPr>
          <w:p w14:paraId="3994528B">
            <w:pPr>
              <w:jc w:val="center"/>
            </w:pPr>
            <w:r>
              <w:rPr>
                <w:rFonts w:ascii="Times New Roman" w:hAnsi="Times New Roman" w:eastAsia="宋体"/>
                <w:sz w:val="20"/>
              </w:rPr>
              <w:t>✓</w:t>
            </w:r>
          </w:p>
        </w:tc>
      </w:tr>
      <w:tr w14:paraId="2B6FB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25674176">
            <w:pPr>
              <w:jc w:val="center"/>
            </w:pPr>
            <w:r>
              <w:rPr>
                <w:rFonts w:ascii="Times New Roman" w:hAnsi="Times New Roman" w:eastAsia="宋体"/>
                <w:sz w:val="20"/>
              </w:rPr>
              <w:t>sid:1000015</w:t>
            </w:r>
          </w:p>
        </w:tc>
        <w:tc>
          <w:tcPr>
            <w:tcW w:w="2161" w:type="dxa"/>
          </w:tcPr>
          <w:p w14:paraId="1C027BFB">
            <w:pPr>
              <w:jc w:val="center"/>
            </w:pPr>
            <w:r>
              <w:rPr>
                <w:rFonts w:ascii="Times New Roman" w:hAnsi="Times New Roman" w:eastAsia="宋体"/>
                <w:sz w:val="20"/>
              </w:rPr>
              <w:t>HTTP TRACE方法</w:t>
            </w:r>
          </w:p>
        </w:tc>
        <w:tc>
          <w:tcPr>
            <w:tcW w:w="2161" w:type="dxa"/>
          </w:tcPr>
          <w:p w14:paraId="4633BF3C">
            <w:pPr>
              <w:jc w:val="center"/>
            </w:pPr>
            <w:r>
              <w:rPr>
                <w:rFonts w:ascii="Times New Roman" w:hAnsi="Times New Roman" w:eastAsia="宋体"/>
                <w:sz w:val="20"/>
              </w:rPr>
              <w:t>curl -X TRACE</w:t>
            </w:r>
          </w:p>
        </w:tc>
        <w:tc>
          <w:tcPr>
            <w:tcW w:w="2161" w:type="dxa"/>
          </w:tcPr>
          <w:p w14:paraId="3B9B8FA1">
            <w:pPr>
              <w:jc w:val="center"/>
            </w:pPr>
            <w:r>
              <w:rPr>
                <w:rFonts w:ascii="Times New Roman" w:hAnsi="Times New Roman" w:eastAsia="宋体"/>
                <w:sz w:val="20"/>
              </w:rPr>
              <w:t>✓</w:t>
            </w:r>
          </w:p>
        </w:tc>
      </w:tr>
      <w:tr w14:paraId="3B4A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1B58491F">
            <w:pPr>
              <w:jc w:val="center"/>
            </w:pPr>
            <w:r>
              <w:rPr>
                <w:rFonts w:ascii="Times New Roman" w:hAnsi="Times New Roman" w:eastAsia="宋体"/>
                <w:sz w:val="20"/>
              </w:rPr>
              <w:t>sid:1000016</w:t>
            </w:r>
          </w:p>
        </w:tc>
        <w:tc>
          <w:tcPr>
            <w:tcW w:w="2161" w:type="dxa"/>
          </w:tcPr>
          <w:p w14:paraId="65274CED">
            <w:pPr>
              <w:jc w:val="center"/>
            </w:pPr>
            <w:r>
              <w:rPr>
                <w:rFonts w:ascii="Times New Roman" w:hAnsi="Times New Roman" w:eastAsia="宋体"/>
                <w:sz w:val="20"/>
              </w:rPr>
              <w:t>HTTP请求走私</w:t>
            </w:r>
          </w:p>
        </w:tc>
        <w:tc>
          <w:tcPr>
            <w:tcW w:w="2161" w:type="dxa"/>
          </w:tcPr>
          <w:p w14:paraId="029E377F">
            <w:pPr>
              <w:jc w:val="center"/>
            </w:pPr>
            <w:r>
              <w:rPr>
                <w:rFonts w:ascii="Times New Roman" w:hAnsi="Times New Roman" w:eastAsia="宋体"/>
                <w:sz w:val="20"/>
              </w:rPr>
              <w:t>双Content-Length</w:t>
            </w:r>
          </w:p>
        </w:tc>
        <w:tc>
          <w:tcPr>
            <w:tcW w:w="2161" w:type="dxa"/>
          </w:tcPr>
          <w:p w14:paraId="3CD991FE">
            <w:pPr>
              <w:jc w:val="center"/>
            </w:pPr>
            <w:r>
              <w:rPr>
                <w:rFonts w:ascii="Times New Roman" w:hAnsi="Times New Roman" w:eastAsia="宋体"/>
                <w:sz w:val="20"/>
              </w:rPr>
              <w:t>✓</w:t>
            </w:r>
          </w:p>
        </w:tc>
      </w:tr>
      <w:tr w14:paraId="6DD0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56792132">
            <w:pPr>
              <w:jc w:val="center"/>
            </w:pPr>
            <w:r>
              <w:rPr>
                <w:rFonts w:ascii="Times New Roman" w:hAnsi="Times New Roman" w:eastAsia="宋体"/>
                <w:sz w:val="20"/>
              </w:rPr>
              <w:t>sid:1000017</w:t>
            </w:r>
          </w:p>
        </w:tc>
        <w:tc>
          <w:tcPr>
            <w:tcW w:w="2161" w:type="dxa"/>
          </w:tcPr>
          <w:p w14:paraId="356FCA06">
            <w:pPr>
              <w:jc w:val="center"/>
            </w:pPr>
            <w:r>
              <w:rPr>
                <w:rFonts w:ascii="Times New Roman" w:hAnsi="Times New Roman" w:eastAsia="宋体"/>
                <w:sz w:val="20"/>
              </w:rPr>
              <w:t>SQL注入攻击</w:t>
            </w:r>
          </w:p>
        </w:tc>
        <w:tc>
          <w:tcPr>
            <w:tcW w:w="2161" w:type="dxa"/>
          </w:tcPr>
          <w:p w14:paraId="2A3D5052">
            <w:pPr>
              <w:jc w:val="center"/>
            </w:pPr>
            <w:r>
              <w:rPr>
                <w:rFonts w:ascii="Times New Roman" w:hAnsi="Times New Roman" w:eastAsia="宋体"/>
                <w:sz w:val="20"/>
              </w:rPr>
              <w:t>sqlmap UNION SELECT</w:t>
            </w:r>
          </w:p>
        </w:tc>
        <w:tc>
          <w:tcPr>
            <w:tcW w:w="2161" w:type="dxa"/>
          </w:tcPr>
          <w:p w14:paraId="55DEE347">
            <w:pPr>
              <w:jc w:val="center"/>
            </w:pPr>
            <w:r>
              <w:rPr>
                <w:rFonts w:ascii="Times New Roman" w:hAnsi="Times New Roman" w:eastAsia="宋体"/>
                <w:sz w:val="20"/>
              </w:rPr>
              <w:t>✓</w:t>
            </w:r>
          </w:p>
        </w:tc>
      </w:tr>
      <w:tr w14:paraId="3B3E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176B2725">
            <w:pPr>
              <w:jc w:val="center"/>
            </w:pPr>
            <w:r>
              <w:rPr>
                <w:rFonts w:ascii="Times New Roman" w:hAnsi="Times New Roman" w:eastAsia="宋体"/>
                <w:sz w:val="20"/>
              </w:rPr>
              <w:t>sid:1000018</w:t>
            </w:r>
          </w:p>
        </w:tc>
        <w:tc>
          <w:tcPr>
            <w:tcW w:w="2161" w:type="dxa"/>
          </w:tcPr>
          <w:p w14:paraId="7B95B609">
            <w:pPr>
              <w:jc w:val="center"/>
            </w:pPr>
            <w:r>
              <w:rPr>
                <w:rFonts w:ascii="Times New Roman" w:hAnsi="Times New Roman" w:eastAsia="宋体"/>
                <w:sz w:val="20"/>
              </w:rPr>
              <w:t>XSS跨站脚本攻击</w:t>
            </w:r>
          </w:p>
        </w:tc>
        <w:tc>
          <w:tcPr>
            <w:tcW w:w="2161" w:type="dxa"/>
          </w:tcPr>
          <w:p w14:paraId="6A9FB364">
            <w:pPr>
              <w:jc w:val="center"/>
            </w:pPr>
            <w:r>
              <w:rPr>
                <w:rFonts w:ascii="Times New Roman" w:hAnsi="Times New Roman" w:eastAsia="宋体"/>
                <w:sz w:val="20"/>
              </w:rPr>
              <w:t>curl script注入</w:t>
            </w:r>
          </w:p>
        </w:tc>
        <w:tc>
          <w:tcPr>
            <w:tcW w:w="2161" w:type="dxa"/>
          </w:tcPr>
          <w:p w14:paraId="03CE1091">
            <w:pPr>
              <w:jc w:val="center"/>
            </w:pPr>
            <w:r>
              <w:rPr>
                <w:rFonts w:ascii="Times New Roman" w:hAnsi="Times New Roman" w:eastAsia="宋体"/>
                <w:sz w:val="20"/>
              </w:rPr>
              <w:t>✓</w:t>
            </w:r>
          </w:p>
        </w:tc>
      </w:tr>
      <w:tr w14:paraId="1BB8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12FB16D6">
            <w:pPr>
              <w:jc w:val="center"/>
            </w:pPr>
            <w:r>
              <w:rPr>
                <w:rFonts w:ascii="Times New Roman" w:hAnsi="Times New Roman" w:eastAsia="宋体"/>
                <w:sz w:val="20"/>
              </w:rPr>
              <w:t>sid:1000019</w:t>
            </w:r>
          </w:p>
        </w:tc>
        <w:tc>
          <w:tcPr>
            <w:tcW w:w="2161" w:type="dxa"/>
          </w:tcPr>
          <w:p w14:paraId="0386F4DC">
            <w:pPr>
              <w:jc w:val="center"/>
            </w:pPr>
            <w:r>
              <w:rPr>
                <w:rFonts w:ascii="Times New Roman" w:hAnsi="Times New Roman" w:eastAsia="宋体"/>
                <w:sz w:val="20"/>
              </w:rPr>
              <w:t>HTTP 200响应</w:t>
            </w:r>
          </w:p>
        </w:tc>
        <w:tc>
          <w:tcPr>
            <w:tcW w:w="2161" w:type="dxa"/>
          </w:tcPr>
          <w:p w14:paraId="7BFCC2DB">
            <w:pPr>
              <w:jc w:val="center"/>
            </w:pPr>
            <w:r>
              <w:rPr>
                <w:rFonts w:ascii="Times New Roman" w:hAnsi="Times New Roman" w:eastAsia="宋体"/>
                <w:sz w:val="20"/>
              </w:rPr>
              <w:t>正常Web应答</w:t>
            </w:r>
          </w:p>
        </w:tc>
        <w:tc>
          <w:tcPr>
            <w:tcW w:w="2161" w:type="dxa"/>
          </w:tcPr>
          <w:p w14:paraId="784ADF96">
            <w:pPr>
              <w:jc w:val="center"/>
            </w:pPr>
            <w:r>
              <w:rPr>
                <w:rFonts w:ascii="Times New Roman" w:hAnsi="Times New Roman" w:eastAsia="宋体"/>
                <w:sz w:val="20"/>
              </w:rPr>
              <w:t>✓</w:t>
            </w:r>
          </w:p>
        </w:tc>
      </w:tr>
      <w:tr w14:paraId="2586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22C4A620">
            <w:pPr>
              <w:jc w:val="center"/>
            </w:pPr>
            <w:r>
              <w:rPr>
                <w:rFonts w:ascii="Times New Roman" w:hAnsi="Times New Roman" w:eastAsia="宋体"/>
                <w:sz w:val="20"/>
              </w:rPr>
              <w:t>sid:1000020</w:t>
            </w:r>
          </w:p>
        </w:tc>
        <w:tc>
          <w:tcPr>
            <w:tcW w:w="2161" w:type="dxa"/>
          </w:tcPr>
          <w:p w14:paraId="0D916829">
            <w:pPr>
              <w:jc w:val="center"/>
            </w:pPr>
            <w:r>
              <w:rPr>
                <w:rFonts w:ascii="Times New Roman" w:hAnsi="Times New Roman" w:eastAsia="宋体"/>
                <w:sz w:val="20"/>
              </w:rPr>
              <w:t>SSH握手连接</w:t>
            </w:r>
          </w:p>
        </w:tc>
        <w:tc>
          <w:tcPr>
            <w:tcW w:w="2161" w:type="dxa"/>
          </w:tcPr>
          <w:p w14:paraId="5F331832">
            <w:pPr>
              <w:jc w:val="center"/>
            </w:pPr>
            <w:r>
              <w:rPr>
                <w:rFonts w:ascii="Times New Roman" w:hAnsi="Times New Roman" w:eastAsia="宋体"/>
                <w:sz w:val="20"/>
              </w:rPr>
              <w:t>ssh登录</w:t>
            </w:r>
          </w:p>
        </w:tc>
        <w:tc>
          <w:tcPr>
            <w:tcW w:w="2161" w:type="dxa"/>
          </w:tcPr>
          <w:p w14:paraId="1C996A9D">
            <w:pPr>
              <w:jc w:val="center"/>
            </w:pPr>
            <w:r>
              <w:rPr>
                <w:rFonts w:ascii="Times New Roman" w:hAnsi="Times New Roman" w:eastAsia="宋体"/>
                <w:sz w:val="20"/>
              </w:rPr>
              <w:t>✓</w:t>
            </w:r>
          </w:p>
        </w:tc>
      </w:tr>
      <w:tr w14:paraId="5CF3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12CFD813">
            <w:pPr>
              <w:jc w:val="center"/>
            </w:pPr>
            <w:r>
              <w:rPr>
                <w:rFonts w:ascii="Times New Roman" w:hAnsi="Times New Roman" w:eastAsia="宋体"/>
                <w:sz w:val="20"/>
              </w:rPr>
              <w:t>sid:1000021</w:t>
            </w:r>
          </w:p>
        </w:tc>
        <w:tc>
          <w:tcPr>
            <w:tcW w:w="2161" w:type="dxa"/>
          </w:tcPr>
          <w:p w14:paraId="4F4B5F02">
            <w:pPr>
              <w:jc w:val="center"/>
            </w:pPr>
            <w:r>
              <w:rPr>
                <w:rFonts w:ascii="Times New Roman" w:hAnsi="Times New Roman" w:eastAsia="宋体"/>
                <w:sz w:val="20"/>
              </w:rPr>
              <w:t>SSH会话数据传输</w:t>
            </w:r>
          </w:p>
        </w:tc>
        <w:tc>
          <w:tcPr>
            <w:tcW w:w="2161" w:type="dxa"/>
          </w:tcPr>
          <w:p w14:paraId="252C3423">
            <w:pPr>
              <w:jc w:val="center"/>
            </w:pPr>
            <w:r>
              <w:rPr>
                <w:rFonts w:ascii="Times New Roman" w:hAnsi="Times New Roman" w:eastAsia="宋体"/>
                <w:sz w:val="20"/>
              </w:rPr>
              <w:t>ssh远程命令</w:t>
            </w:r>
          </w:p>
        </w:tc>
        <w:tc>
          <w:tcPr>
            <w:tcW w:w="2161" w:type="dxa"/>
          </w:tcPr>
          <w:p w14:paraId="2D1BA42B">
            <w:pPr>
              <w:jc w:val="center"/>
            </w:pPr>
            <w:r>
              <w:rPr>
                <w:rFonts w:ascii="Times New Roman" w:hAnsi="Times New Roman" w:eastAsia="宋体"/>
                <w:sz w:val="20"/>
              </w:rPr>
              <w:t>✓</w:t>
            </w:r>
          </w:p>
        </w:tc>
      </w:tr>
      <w:tr w14:paraId="2EADB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145E86AB">
            <w:pPr>
              <w:jc w:val="center"/>
            </w:pPr>
            <w:r>
              <w:rPr>
                <w:rFonts w:ascii="Times New Roman" w:hAnsi="Times New Roman" w:eastAsia="宋体"/>
                <w:sz w:val="20"/>
              </w:rPr>
              <w:t>sid:1000022</w:t>
            </w:r>
          </w:p>
        </w:tc>
        <w:tc>
          <w:tcPr>
            <w:tcW w:w="2161" w:type="dxa"/>
          </w:tcPr>
          <w:p w14:paraId="6512CB5E">
            <w:pPr>
              <w:jc w:val="center"/>
            </w:pPr>
            <w:r>
              <w:rPr>
                <w:rFonts w:ascii="Times New Roman" w:hAnsi="Times New Roman" w:eastAsia="宋体"/>
                <w:sz w:val="20"/>
              </w:rPr>
              <w:t>Telnet连接检测</w:t>
            </w:r>
          </w:p>
        </w:tc>
        <w:tc>
          <w:tcPr>
            <w:tcW w:w="2161" w:type="dxa"/>
          </w:tcPr>
          <w:p w14:paraId="4362F4FF">
            <w:pPr>
              <w:jc w:val="center"/>
            </w:pPr>
            <w:r>
              <w:rPr>
                <w:rFonts w:ascii="Times New Roman" w:hAnsi="Times New Roman" w:eastAsia="宋体"/>
                <w:sz w:val="20"/>
              </w:rPr>
              <w:t>telnet</w:t>
            </w:r>
          </w:p>
        </w:tc>
        <w:tc>
          <w:tcPr>
            <w:tcW w:w="2161" w:type="dxa"/>
          </w:tcPr>
          <w:p w14:paraId="6A2540EF">
            <w:pPr>
              <w:jc w:val="center"/>
            </w:pPr>
            <w:r>
              <w:rPr>
                <w:rFonts w:ascii="Times New Roman" w:hAnsi="Times New Roman" w:eastAsia="宋体"/>
                <w:sz w:val="20"/>
              </w:rPr>
              <w:t>✓</w:t>
            </w:r>
          </w:p>
        </w:tc>
      </w:tr>
      <w:tr w14:paraId="5014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11405DC5">
            <w:pPr>
              <w:jc w:val="center"/>
            </w:pPr>
            <w:r>
              <w:rPr>
                <w:rFonts w:ascii="Times New Roman" w:hAnsi="Times New Roman" w:eastAsia="宋体"/>
                <w:sz w:val="20"/>
              </w:rPr>
              <w:t>sid:1000023</w:t>
            </w:r>
          </w:p>
        </w:tc>
        <w:tc>
          <w:tcPr>
            <w:tcW w:w="2161" w:type="dxa"/>
          </w:tcPr>
          <w:p w14:paraId="0EA22351">
            <w:pPr>
              <w:jc w:val="center"/>
            </w:pPr>
            <w:r>
              <w:rPr>
                <w:rFonts w:ascii="Times New Roman" w:hAnsi="Times New Roman" w:eastAsia="宋体"/>
                <w:sz w:val="20"/>
              </w:rPr>
              <w:t>SMB匿名空会话</w:t>
            </w:r>
          </w:p>
        </w:tc>
        <w:tc>
          <w:tcPr>
            <w:tcW w:w="2161" w:type="dxa"/>
          </w:tcPr>
          <w:p w14:paraId="6E8E35B5">
            <w:pPr>
              <w:jc w:val="center"/>
            </w:pPr>
            <w:r>
              <w:rPr>
                <w:rFonts w:ascii="Times New Roman" w:hAnsi="Times New Roman" w:eastAsia="宋体"/>
                <w:sz w:val="20"/>
              </w:rPr>
              <w:t>enum4linux -a</w:t>
            </w:r>
          </w:p>
        </w:tc>
        <w:tc>
          <w:tcPr>
            <w:tcW w:w="2161" w:type="dxa"/>
          </w:tcPr>
          <w:p w14:paraId="0B9A4FCE">
            <w:pPr>
              <w:jc w:val="center"/>
            </w:pPr>
            <w:r>
              <w:rPr>
                <w:rFonts w:ascii="Times New Roman" w:hAnsi="Times New Roman" w:eastAsia="宋体"/>
                <w:sz w:val="20"/>
              </w:rPr>
              <w:t>✓</w:t>
            </w:r>
          </w:p>
        </w:tc>
      </w:tr>
      <w:tr w14:paraId="01B1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2E5A5CB6">
            <w:pPr>
              <w:jc w:val="center"/>
            </w:pPr>
            <w:r>
              <w:rPr>
                <w:rFonts w:ascii="Times New Roman" w:hAnsi="Times New Roman" w:eastAsia="宋体"/>
                <w:sz w:val="20"/>
              </w:rPr>
              <w:t>sid:1000024</w:t>
            </w:r>
          </w:p>
        </w:tc>
        <w:tc>
          <w:tcPr>
            <w:tcW w:w="2161" w:type="dxa"/>
          </w:tcPr>
          <w:p w14:paraId="3A1DC4A9">
            <w:pPr>
              <w:jc w:val="center"/>
            </w:pPr>
            <w:r>
              <w:rPr>
                <w:rFonts w:ascii="Times New Roman" w:hAnsi="Times New Roman" w:eastAsia="宋体"/>
                <w:sz w:val="20"/>
              </w:rPr>
              <w:t>RDP远程桌面连接</w:t>
            </w:r>
          </w:p>
        </w:tc>
        <w:tc>
          <w:tcPr>
            <w:tcW w:w="2161" w:type="dxa"/>
          </w:tcPr>
          <w:p w14:paraId="52CB5828">
            <w:pPr>
              <w:jc w:val="center"/>
            </w:pPr>
            <w:r>
              <w:rPr>
                <w:rFonts w:ascii="Times New Roman" w:hAnsi="Times New Roman" w:eastAsia="宋体"/>
                <w:sz w:val="20"/>
              </w:rPr>
              <w:t>nmap -p 3389</w:t>
            </w:r>
          </w:p>
        </w:tc>
        <w:tc>
          <w:tcPr>
            <w:tcW w:w="2161" w:type="dxa"/>
          </w:tcPr>
          <w:p w14:paraId="0BF9A0B2">
            <w:pPr>
              <w:jc w:val="center"/>
            </w:pPr>
            <w:r>
              <w:rPr>
                <w:rFonts w:ascii="Times New Roman" w:hAnsi="Times New Roman" w:eastAsia="宋体"/>
                <w:sz w:val="20"/>
              </w:rPr>
              <w:t>✓</w:t>
            </w:r>
          </w:p>
        </w:tc>
      </w:tr>
      <w:tr w14:paraId="267F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1" w:type="dxa"/>
          </w:tcPr>
          <w:p w14:paraId="5DB5BC7F">
            <w:pPr>
              <w:jc w:val="center"/>
            </w:pPr>
            <w:r>
              <w:rPr>
                <w:rFonts w:ascii="Times New Roman" w:hAnsi="Times New Roman" w:eastAsia="宋体"/>
                <w:sz w:val="20"/>
              </w:rPr>
              <w:t>sid:1000025</w:t>
            </w:r>
          </w:p>
        </w:tc>
        <w:tc>
          <w:tcPr>
            <w:tcW w:w="2161" w:type="dxa"/>
          </w:tcPr>
          <w:p w14:paraId="0BD7AF63">
            <w:pPr>
              <w:jc w:val="center"/>
            </w:pPr>
            <w:r>
              <w:rPr>
                <w:rFonts w:ascii="Times New Roman" w:hAnsi="Times New Roman" w:eastAsia="宋体"/>
                <w:sz w:val="20"/>
              </w:rPr>
              <w:t>DNS批量查询</w:t>
            </w:r>
          </w:p>
        </w:tc>
        <w:tc>
          <w:tcPr>
            <w:tcW w:w="2161" w:type="dxa"/>
          </w:tcPr>
          <w:p w14:paraId="686AB1EE">
            <w:pPr>
              <w:jc w:val="center"/>
            </w:pPr>
            <w:r>
              <w:rPr>
                <w:rFonts w:ascii="Times New Roman" w:hAnsi="Times New Roman" w:eastAsia="宋体"/>
                <w:sz w:val="20"/>
              </w:rPr>
              <w:t>dnsrecon</w:t>
            </w:r>
          </w:p>
        </w:tc>
        <w:tc>
          <w:tcPr>
            <w:tcW w:w="2161" w:type="dxa"/>
          </w:tcPr>
          <w:p w14:paraId="2E764C19">
            <w:pPr>
              <w:jc w:val="center"/>
            </w:pPr>
            <w:r>
              <w:rPr>
                <w:rFonts w:ascii="Times New Roman" w:hAnsi="Times New Roman" w:eastAsia="宋体"/>
                <w:sz w:val="20"/>
              </w:rPr>
              <w:t>✓</w:t>
            </w:r>
          </w:p>
        </w:tc>
      </w:tr>
    </w:tbl>
    <w:p w14:paraId="19BF0804">
      <w:pPr>
        <w:spacing w:line="360" w:lineRule="exact"/>
        <w:jc w:val="center"/>
      </w:pPr>
      <w:r>
        <w:rPr>
          <w:rFonts w:ascii="Times New Roman" w:hAnsi="Times New Roman" w:eastAsia="宋体"/>
          <w:sz w:val="20"/>
        </w:rPr>
        <w:t>表2 规则集测试结果汇总</w:t>
      </w:r>
    </w:p>
    <w:p w14:paraId="1443EFB9">
      <w:pPr>
        <w:pStyle w:val="3"/>
        <w:spacing w:line="360" w:lineRule="exact"/>
      </w:pPr>
      <w:bookmarkStart w:id="18" w:name="_Toc20612"/>
      <w:r>
        <w:rPr>
          <w:rFonts w:ascii="Times New Roman" w:hAnsi="Times New Roman" w:eastAsia="黑体"/>
          <w:b/>
          <w:sz w:val="32"/>
        </w:rPr>
        <w:t>六、结果与分析</w:t>
      </w:r>
      <w:bookmarkEnd w:id="18"/>
    </w:p>
    <w:p w14:paraId="287AFCBC">
      <w:pPr>
        <w:pStyle w:val="4"/>
        <w:spacing w:line="360" w:lineRule="exact"/>
      </w:pPr>
      <w:bookmarkStart w:id="19" w:name="_Toc23206"/>
      <w:r>
        <w:rPr>
          <w:rFonts w:ascii="Times New Roman" w:hAnsi="Times New Roman" w:eastAsia="黑体"/>
          <w:b/>
          <w:sz w:val="28"/>
        </w:rPr>
        <w:t>6.1 检测效果评估</w:t>
      </w:r>
      <w:bookmarkEnd w:id="19"/>
    </w:p>
    <w:p w14:paraId="412C0A65">
      <w:pPr>
        <w:spacing w:line="360" w:lineRule="exact"/>
        <w:ind w:firstLine="480"/>
        <w:jc w:val="both"/>
      </w:pPr>
      <w:r>
        <w:rPr>
          <w:rFonts w:ascii="Times New Roman" w:hAnsi="Times New Roman" w:eastAsia="宋体"/>
          <w:sz w:val="24"/>
        </w:rPr>
        <w:t>通过完整的攻击测试验证，本课题设计的25条Snort 3检测规则全部成功触发告警，规则命中率为100%。从检测覆盖面来看，规则集覆盖了ICMP攻击（5条）、高级扫描（7条）、HTTP攻击（7条）和基础协议检测（6条）四个维度，形成了较为全面的检测体系。特别是TCP零窗口扫描（规则10）、HTTP请求走私（规则16）、SQL注入检测（规则17）、XSS检测（规则18）等特色规则的检测效果良好，能够准确识别对应的攻击行为。</w:t>
      </w:r>
    </w:p>
    <w:p w14:paraId="02A8C7F2">
      <w:pPr>
        <w:pStyle w:val="4"/>
        <w:spacing w:line="360" w:lineRule="exact"/>
      </w:pPr>
      <w:bookmarkStart w:id="20" w:name="_Toc9837"/>
      <w:r>
        <w:rPr>
          <w:rFonts w:ascii="Times New Roman" w:hAnsi="Times New Roman" w:eastAsia="黑体"/>
          <w:b/>
          <w:sz w:val="28"/>
        </w:rPr>
        <w:t>6.2 规则性能与误报分析</w:t>
      </w:r>
      <w:bookmarkEnd w:id="20"/>
    </w:p>
    <w:p w14:paraId="28015804">
      <w:pPr>
        <w:spacing w:line="360" w:lineRule="exact"/>
        <w:ind w:firstLine="480"/>
        <w:jc w:val="both"/>
      </w:pPr>
      <w:r>
        <w:rPr>
          <w:rFonts w:ascii="Times New Roman" w:hAnsi="Times New Roman" w:eastAsia="宋体"/>
          <w:sz w:val="24"/>
        </w:rPr>
        <w:t>在测试过程中，规则10（TCP零窗口探测）在正常网络通信中几乎不会触发，误报率极低，这是因为正常TCP连接的窗口大小通常不为0。规则14（非浏览器HTTP请求）在实际部署中可能存在一定的误报，因为部分合法的自动化工具（如系统更新检查、API调用）也会使用非浏览器User-Agent。针对这一问题，后续可以通过添加白名单机制进行优化。规则3（ICMP洪水攻击）需要使用洪水ping命令才能触发，规则5（死亡之Ping）需要超大ICMP包才能触发，检测准确性较高。</w:t>
      </w:r>
    </w:p>
    <w:p w14:paraId="2BB98D12">
      <w:pPr>
        <w:pStyle w:val="4"/>
        <w:spacing w:line="360" w:lineRule="exact"/>
      </w:pPr>
      <w:bookmarkStart w:id="21" w:name="_Toc16132"/>
      <w:r>
        <w:rPr>
          <w:rFonts w:ascii="Times New Roman" w:hAnsi="Times New Roman" w:eastAsia="黑体"/>
          <w:b/>
          <w:sz w:val="28"/>
        </w:rPr>
        <w:t>6.3 存在的不足与改进方向</w:t>
      </w:r>
      <w:bookmarkEnd w:id="21"/>
    </w:p>
    <w:p w14:paraId="0B1C0BD4">
      <w:pPr>
        <w:spacing w:line="360" w:lineRule="exact"/>
        <w:ind w:firstLine="480"/>
        <w:jc w:val="both"/>
      </w:pPr>
      <w:r>
        <w:rPr>
          <w:rFonts w:ascii="Times New Roman" w:hAnsi="Times New Roman" w:eastAsia="宋体"/>
          <w:sz w:val="24"/>
        </w:rPr>
        <w:t>本规则集仍存在以下不足：第一，规则14基于简单的"curl"字符串匹配检测非浏览器请求，容易被攻击者通过修改User-Agent绕过，后续可以考虑引入基于HTTP请求行为特征的检测机制[9]。第二，规则17和规则18基于关键词匹配进行SQL注入和XSS检测，存在一定的绕过风险，后续可引入更精确的模式匹配算法。第三，规则集中暂未包含IPS拦截功能，目前仅能产生告警日志，无法主动阻断攻击流量。第四，规则集未涉及加密流量（HTTPS）的检测，对于使用TLS加密的HTTP/2协议攻击检测能力有限。</w:t>
      </w:r>
    </w:p>
    <w:p w14:paraId="7B602D63">
      <w:pPr>
        <w:spacing w:line="360" w:lineRule="exact"/>
        <w:ind w:firstLine="480"/>
        <w:jc w:val="both"/>
      </w:pPr>
      <w:r>
        <w:rPr>
          <w:rFonts w:ascii="Times New Roman" w:hAnsi="Times New Roman" w:eastAsia="宋体"/>
          <w:sz w:val="24"/>
        </w:rPr>
        <w:t>未来改进方向包括：引入HTTP请求频率分析和User-Agent异常检测模型，提升非浏览器请求检测的准确率；增加reject/drop动作实现IPS拦截；结合校园网流量特征优化规则匹配阈值，进一步降低误报率[10]。</w:t>
      </w:r>
    </w:p>
    <w:p w14:paraId="3249D2BE">
      <w:pPr>
        <w:pStyle w:val="3"/>
        <w:spacing w:line="360" w:lineRule="exact"/>
      </w:pPr>
      <w:bookmarkStart w:id="22" w:name="_Toc4651"/>
      <w:r>
        <w:rPr>
          <w:rFonts w:ascii="Times New Roman" w:hAnsi="Times New Roman" w:eastAsia="黑体"/>
          <w:b/>
          <w:sz w:val="32"/>
        </w:rPr>
        <w:t>七、致谢</w:t>
      </w:r>
      <w:bookmarkEnd w:id="22"/>
    </w:p>
    <w:p w14:paraId="11301150">
      <w:pPr>
        <w:spacing w:line="360" w:lineRule="exact"/>
        <w:ind w:firstLine="480"/>
        <w:jc w:val="both"/>
      </w:pPr>
      <w:r>
        <w:rPr>
          <w:rFonts w:ascii="Times New Roman" w:hAnsi="Times New Roman" w:eastAsia="宋体"/>
          <w:sz w:val="24"/>
        </w:rPr>
        <w:t>在本课题的研究与设计报告撰写过程中，我们衷心感谢《入侵检测技术与应用》课程授课教师的悉心指导。教师在教学过程中深入浅出地讲解了入侵检测系统的原理、Snort规则引擎的工作机制以及各类网络攻击的检测方法，为本课题的顺利开展奠定了坚实的理论基础。</w:t>
      </w:r>
    </w:p>
    <w:p w14:paraId="6FBB24F6">
      <w:pPr>
        <w:spacing w:line="360" w:lineRule="exact"/>
        <w:ind w:firstLine="480"/>
        <w:jc w:val="both"/>
      </w:pPr>
      <w:r>
        <w:rPr>
          <w:rFonts w:ascii="Times New Roman" w:hAnsi="Times New Roman" w:eastAsia="宋体"/>
          <w:sz w:val="24"/>
        </w:rPr>
        <w:t>感谢实验指导教师在实验环境搭建、Snort 3安装配置、规则调试与测试验证等方面提供的技术支持与宝贵建议。指导教师在实验过程中的耐心指导和问题解答，帮助我们解决了项目实施中的多个技术难题。</w:t>
      </w:r>
    </w:p>
    <w:p w14:paraId="289743E3">
      <w:pPr>
        <w:spacing w:line="360" w:lineRule="exact"/>
        <w:ind w:firstLine="480"/>
        <w:jc w:val="both"/>
      </w:pPr>
      <w:r>
        <w:rPr>
          <w:rFonts w:ascii="Times New Roman" w:hAnsi="Times New Roman" w:eastAsia="宋体"/>
          <w:sz w:val="24"/>
        </w:rPr>
        <w:t>感谢本组9位成员的共同努力与紧密协作。从选题确定、环境搭建、规则编写、测试验证到报告撰写和PPT制作，每位成员都充分发挥了自己的专业特长，在各自负责的模块中精益求精。正是团队的密切配合和相互支持，才使得本课题得以圆满完成。</w:t>
      </w:r>
    </w:p>
    <w:p w14:paraId="4494A8EA">
      <w:pPr>
        <w:spacing w:line="360" w:lineRule="exact"/>
        <w:ind w:firstLine="480"/>
        <w:jc w:val="both"/>
      </w:pPr>
      <w:r>
        <w:rPr>
          <w:rFonts w:ascii="Times New Roman" w:hAnsi="Times New Roman" w:eastAsia="宋体"/>
          <w:sz w:val="24"/>
        </w:rPr>
        <w:t>感谢各位同学在项目进行过程中提供的帮助与建议，尤其感谢同班同学在技术讨论中分享的经验和思路，这些交流拓宽了我们的视野，提升了规则集设计的质量。</w:t>
      </w:r>
    </w:p>
    <w:p w14:paraId="3026D3D6">
      <w:pPr>
        <w:spacing w:line="360" w:lineRule="exact"/>
        <w:ind w:firstLine="480"/>
        <w:jc w:val="both"/>
      </w:pPr>
      <w:r>
        <w:rPr>
          <w:rFonts w:ascii="Times New Roman" w:hAnsi="Times New Roman" w:eastAsia="宋体"/>
          <w:sz w:val="24"/>
        </w:rPr>
        <w:t>最后，感谢各位评审老师在百忙之中审阅本设计报告，不足之处恳请批评指正。</w:t>
      </w:r>
    </w:p>
    <w:p w14:paraId="3B532FC6">
      <w:pPr>
        <w:pStyle w:val="3"/>
        <w:spacing w:line="360" w:lineRule="exact"/>
      </w:pPr>
      <w:bookmarkStart w:id="23" w:name="_Toc20452"/>
      <w:r>
        <w:rPr>
          <w:rFonts w:ascii="Times New Roman" w:hAnsi="Times New Roman" w:eastAsia="黑体"/>
          <w:b/>
          <w:sz w:val="32"/>
        </w:rPr>
        <w:t>八、参考文献</w:t>
      </w:r>
      <w:bookmarkEnd w:id="23"/>
    </w:p>
    <w:p w14:paraId="23610ACC">
      <w:pPr>
        <w:spacing w:line="360" w:lineRule="exact"/>
        <w:ind w:left="283" w:firstLine="0"/>
      </w:pPr>
      <w:r>
        <w:rPr>
          <w:rFonts w:ascii="Times New Roman" w:hAnsi="Times New Roman" w:eastAsia="宋体"/>
          <w:sz w:val="24"/>
        </w:rPr>
        <w:t>[1] 夏峰. 信息安全技术[M]. 哈尔滨: 哈尔滨工程大学出版社, 2023.</w:t>
      </w:r>
    </w:p>
    <w:p w14:paraId="4C6A8BFD">
      <w:pPr>
        <w:spacing w:line="360" w:lineRule="exact"/>
        <w:ind w:left="283" w:firstLine="0"/>
      </w:pPr>
      <w:r>
        <w:rPr>
          <w:rFonts w:ascii="Times New Roman" w:hAnsi="Times New Roman" w:eastAsia="宋体"/>
          <w:sz w:val="24"/>
        </w:rPr>
        <w:t>[2] 刘建伟. 网络安全——理论与技术(微课版)[M]. 北京: 清华大学出版社, 2024.</w:t>
      </w:r>
    </w:p>
    <w:p w14:paraId="3C409276">
      <w:pPr>
        <w:spacing w:line="360" w:lineRule="exact"/>
        <w:ind w:left="283" w:firstLine="0"/>
      </w:pPr>
      <w:r>
        <w:rPr>
          <w:rFonts w:ascii="Times New Roman" w:hAnsi="Times New Roman" w:eastAsia="宋体"/>
          <w:sz w:val="24"/>
        </w:rPr>
        <w:t>[3] 王磊. Snort3入侵检测系统部署与规则优化实践[J]. 网络空间安全, 2022, 13(06): 78-83.</w:t>
      </w:r>
    </w:p>
    <w:p w14:paraId="6566DE54">
      <w:pPr>
        <w:spacing w:line="360" w:lineRule="exact"/>
        <w:ind w:left="283" w:firstLine="0"/>
      </w:pPr>
      <w:r>
        <w:rPr>
          <w:rFonts w:ascii="Times New Roman" w:hAnsi="Times New Roman" w:eastAsia="宋体"/>
          <w:sz w:val="24"/>
        </w:rPr>
        <w:t>[4] 陈志浩. 开源IDS工具Snort3在校园网中的应用部署[J]. 信息技术与信息化, 2023(08): 112-114.</w:t>
      </w:r>
    </w:p>
    <w:p w14:paraId="62CA3988">
      <w:pPr>
        <w:spacing w:line="360" w:lineRule="exact"/>
        <w:ind w:left="283" w:firstLine="0"/>
      </w:pPr>
      <w:r>
        <w:rPr>
          <w:rFonts w:ascii="Times New Roman" w:hAnsi="Times New Roman" w:eastAsia="宋体"/>
          <w:sz w:val="24"/>
        </w:rPr>
        <w:t>[5] 胡嘉俊, 张勇, 胡国良. 入侵检测技术在计算机网络安全维护中的运用研究[J]. 网络安全技术与应用, 2022(01): 16-17.</w:t>
      </w:r>
    </w:p>
    <w:p w14:paraId="01DBAA31">
      <w:pPr>
        <w:spacing w:line="360" w:lineRule="exact"/>
        <w:ind w:left="283" w:firstLine="0"/>
      </w:pPr>
      <w:r>
        <w:rPr>
          <w:rFonts w:ascii="Times New Roman" w:hAnsi="Times New Roman" w:eastAsia="宋体"/>
          <w:sz w:val="24"/>
        </w:rPr>
        <w:t>[6] 陆艳芳. 浅谈入侵检测技术在计算机网络安全维护中的应用路径[J]. 网络安全技术与应用, 2020(03): 20-21.</w:t>
      </w:r>
    </w:p>
    <w:p w14:paraId="482B30B2">
      <w:pPr>
        <w:spacing w:line="360" w:lineRule="exact"/>
        <w:ind w:left="283" w:firstLine="0"/>
      </w:pPr>
      <w:r>
        <w:rPr>
          <w:rFonts w:ascii="Times New Roman" w:hAnsi="Times New Roman" w:eastAsia="宋体"/>
          <w:sz w:val="24"/>
        </w:rPr>
        <w:t>[7] 罗文华. 基于Snort的网络扫描攻击检测规则优化研究[J]. 信息网络安全, 2021, 21(09): 56-61.</w:t>
      </w:r>
    </w:p>
    <w:p w14:paraId="2FF4A5E5">
      <w:pPr>
        <w:spacing w:line="360" w:lineRule="exact"/>
        <w:ind w:left="283" w:firstLine="0"/>
      </w:pPr>
      <w:r>
        <w:rPr>
          <w:rFonts w:ascii="Times New Roman" w:hAnsi="Times New Roman" w:eastAsia="宋体"/>
          <w:sz w:val="24"/>
        </w:rPr>
        <w:t>[8] 陈嘉玲. Nessus扫描技术在校园网安全防护中的应用研究[J]. 无线互联科技, 2014, 11(07): 25-25.</w:t>
      </w:r>
    </w:p>
    <w:p w14:paraId="413F9217">
      <w:pPr>
        <w:spacing w:line="360" w:lineRule="exact"/>
        <w:ind w:left="283" w:firstLine="0"/>
      </w:pPr>
      <w:r>
        <w:rPr>
          <w:rFonts w:ascii="Times New Roman" w:hAnsi="Times New Roman" w:eastAsia="宋体"/>
          <w:sz w:val="24"/>
        </w:rPr>
        <w:t>[9] 信息安全技术 网络安全等级保护基本要求(GB/T 22239-2019)[S]. 北京: 中国标准出版社, 2019.</w:t>
      </w:r>
    </w:p>
    <w:p w14:paraId="04D19A3B">
      <w:pPr>
        <w:spacing w:line="360" w:lineRule="exact"/>
        <w:ind w:left="283" w:firstLine="0"/>
      </w:pPr>
      <w:r>
        <w:rPr>
          <w:rFonts w:ascii="Times New Roman" w:hAnsi="Times New Roman" w:eastAsia="宋体"/>
          <w:sz w:val="24"/>
        </w:rPr>
        <w:t>[10] Cisco Systems. Understanding Snort 3 Stateful Signature Evaluation[EB/OL]. (2024-01-15). https://www.cisco.com/c/es_mx/support/docs/technical-details/222107-understand-snort-3-stateful-signature-e.html.</w:t>
      </w:r>
    </w:p>
    <w:p w14:paraId="31427FB7">
      <w:pPr>
        <w:spacing w:line="320" w:lineRule="exact"/>
        <w:ind w:left="283"/>
      </w:pPr>
    </w:p>
    <w:sectPr>
      <w:pgSz w:w="12240" w:h="15840"/>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ourier New">
    <w:panose1 w:val="02070309020205020404"/>
    <w:charset w:val="00"/>
    <w:family w:val="auto"/>
    <w:pitch w:val="default"/>
    <w:sig w:usb0="E0002EFF" w:usb1="C0007843" w:usb2="00000009" w:usb3="00000000" w:csb0="400001FF" w:csb1="FFFF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84785"/>
    <w:rsid w:val="00CB0664"/>
    <w:rsid w:val="00FC693F"/>
    <w:rsid w:val="31A707B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0" w:line="360" w:lineRule="exact"/>
    </w:pPr>
    <w:rPr>
      <w:rFonts w:ascii="Times New Roman" w:hAnsi="Times New Roman" w:eastAsia="宋体" w:cstheme="minorBidi"/>
      <w:sz w:val="24"/>
      <w:szCs w:val="22"/>
      <w:lang w:val="en-US" w:eastAsia="en-US" w:bidi="ar-SA"/>
    </w:rPr>
  </w:style>
  <w:style w:type="paragraph" w:styleId="3">
    <w:name w:val="heading 1"/>
    <w:basedOn w:val="1"/>
    <w:next w:val="1"/>
    <w:link w:val="140"/>
    <w:qFormat/>
    <w:uiPriority w:val="9"/>
    <w:pPr>
      <w:keepNext/>
      <w:keepLines/>
      <w:spacing w:before="480" w:after="0" w:line="360" w:lineRule="exact"/>
      <w:outlineLvl w:val="0"/>
    </w:pPr>
    <w:rPr>
      <w:rFonts w:asciiTheme="majorHAnsi" w:hAnsiTheme="majorHAnsi" w:eastAsiaTheme="majorEastAsia" w:cstheme="majorBidi"/>
      <w:b/>
      <w:bCs/>
      <w:color w:val="376092" w:themeColor="accent1" w:themeShade="BF"/>
      <w:sz w:val="32"/>
      <w:szCs w:val="28"/>
    </w:rPr>
  </w:style>
  <w:style w:type="paragraph" w:styleId="4">
    <w:name w:val="heading 2"/>
    <w:basedOn w:val="1"/>
    <w:next w:val="1"/>
    <w:link w:val="141"/>
    <w:unhideWhenUsed/>
    <w:qFormat/>
    <w:uiPriority w:val="9"/>
    <w:pPr>
      <w:keepNext/>
      <w:keepLines/>
      <w:spacing w:before="200" w:after="0" w:line="360" w:lineRule="exact"/>
      <w:outlineLvl w:val="1"/>
    </w:pPr>
    <w:rPr>
      <w:rFonts w:asciiTheme="majorHAnsi" w:hAnsiTheme="majorHAnsi" w:eastAsiaTheme="majorEastAsia" w:cstheme="majorBidi"/>
      <w:b/>
      <w:bCs/>
      <w:color w:val="4F81BD" w:themeColor="accent1"/>
      <w:sz w:val="28"/>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uiPriority w:val="99"/>
    <w:tblPr>
      <w:tblCellMar>
        <w:top w:w="0" w:type="dxa"/>
        <w:left w:w="108" w:type="dxa"/>
        <w:bottom w:w="0" w:type="dxa"/>
        <w:right w:w="108" w:type="dxa"/>
      </w:tblCellMar>
    </w:tblPr>
  </w:style>
  <w:style w:type="paragraph" w:styleId="2">
    <w:name w:val="macro"/>
    <w:link w:val="149"/>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6"/>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uiPriority w:val="99"/>
    <w:pPr>
      <w:tabs>
        <w:tab w:val="center" w:pos="4680"/>
        <w:tab w:val="right" w:pos="9360"/>
      </w:tabs>
      <w:spacing w:after="0" w:line="240" w:lineRule="auto"/>
    </w:pPr>
  </w:style>
  <w:style w:type="paragraph" w:styleId="25">
    <w:name w:val="header"/>
    <w:basedOn w:val="1"/>
    <w:link w:val="137"/>
    <w:unhideWhenUsed/>
    <w:uiPriority w:val="99"/>
    <w:pPr>
      <w:tabs>
        <w:tab w:val="center" w:pos="4680"/>
        <w:tab w:val="right" w:pos="9360"/>
      </w:tabs>
      <w:spacing w:after="0" w:line="240" w:lineRule="auto"/>
    </w:pPr>
  </w:style>
  <w:style w:type="paragraph" w:styleId="26">
    <w:name w:val="toc 1"/>
    <w:basedOn w:val="1"/>
    <w:next w:val="1"/>
    <w:semiHidden/>
    <w:unhideWhenUsed/>
    <w:uiPriority w:val="39"/>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uiPriority w:val="99"/>
    <w:pPr>
      <w:ind w:left="360" w:hanging="360"/>
      <w:contextualSpacing/>
    </w:pPr>
  </w:style>
  <w:style w:type="paragraph" w:styleId="29">
    <w:name w:val="toc 2"/>
    <w:basedOn w:val="1"/>
    <w:next w:val="1"/>
    <w:semiHidden/>
    <w:unhideWhenUsed/>
    <w:uiPriority w:val="39"/>
    <w:pPr>
      <w:ind w:left="420" w:leftChars="200"/>
    </w:pPr>
  </w:style>
  <w:style w:type="paragraph" w:styleId="30">
    <w:name w:val="Body Text 2"/>
    <w:basedOn w:val="1"/>
    <w:link w:val="147"/>
    <w:unhideWhenUsed/>
    <w:qFormat/>
    <w:uiPriority w:val="99"/>
    <w:pPr>
      <w:spacing w:after="120" w:line="480" w:lineRule="auto"/>
    </w:pPr>
  </w:style>
  <w:style w:type="paragraph" w:styleId="31">
    <w:name w:val="List Continue 2"/>
    <w:basedOn w:val="1"/>
    <w:unhideWhenUsed/>
    <w:uiPriority w:val="99"/>
    <w:pPr>
      <w:spacing w:after="120"/>
      <w:ind w:left="720"/>
      <w:contextualSpacing/>
    </w:p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5"/>
    <w:uiPriority w:val="99"/>
  </w:style>
  <w:style w:type="character" w:customStyle="1" w:styleId="138">
    <w:name w:val="Footer Char"/>
    <w:basedOn w:val="134"/>
    <w:link w:val="24"/>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4"/>
    <w:link w:val="19"/>
    <w:qFormat/>
    <w:uiPriority w:val="99"/>
  </w:style>
  <w:style w:type="character" w:customStyle="1" w:styleId="147">
    <w:name w:val="Body Text 2 Char"/>
    <w:basedOn w:val="134"/>
    <w:link w:val="30"/>
    <w:qFormat/>
    <w:uiPriority w:val="99"/>
  </w:style>
  <w:style w:type="character" w:customStyle="1" w:styleId="148">
    <w:name w:val="Body Text 3 Char"/>
    <w:basedOn w:val="134"/>
    <w:link w:val="17"/>
    <w:uiPriority w:val="99"/>
    <w:rPr>
      <w:sz w:val="16"/>
      <w:szCs w:val="16"/>
    </w:rPr>
  </w:style>
  <w:style w:type="character" w:customStyle="1" w:styleId="149">
    <w:name w:val="Macro Text Char"/>
    <w:basedOn w:val="134"/>
    <w:link w:val="2"/>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4"/>
    <w:link w:val="150"/>
    <w:qFormat/>
    <w:uiPriority w:val="29"/>
    <w:rPr>
      <w:i/>
      <w:iCs/>
      <w:color w:val="000000" w:themeColor="text1"/>
      <w14:textFill>
        <w14:solidFill>
          <w14:schemeClr w14:val="tx1"/>
        </w14:solidFill>
      </w14:textFill>
    </w:rPr>
  </w:style>
  <w:style w:type="character" w:customStyle="1" w:styleId="152">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4"/>
    <w:link w:val="158"/>
    <w:uiPriority w:val="30"/>
    <w:rPr>
      <w:b/>
      <w:bCs/>
      <w:i/>
      <w:iCs/>
      <w:color w:val="4F81BD" w:themeColor="accent1"/>
      <w14:textFill>
        <w14:solidFill>
          <w14:schemeClr w14:val="accent1"/>
        </w14:solidFill>
      </w14:textFill>
    </w:rPr>
  </w:style>
  <w:style w:type="character" w:customStyle="1" w:styleId="160">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4"/>
    <w:qFormat/>
    <w:uiPriority w:val="21"/>
    <w:rPr>
      <w:b/>
      <w:bCs/>
      <w:i/>
      <w:iCs/>
      <w:color w:val="4F81BD" w:themeColor="accent1"/>
      <w14:textFill>
        <w14:solidFill>
          <w14:schemeClr w14:val="accent1"/>
        </w14:solidFill>
      </w14:textFill>
    </w:rPr>
  </w:style>
  <w:style w:type="character" w:customStyle="1" w:styleId="162">
    <w:name w:val="Subtle Reference"/>
    <w:basedOn w:val="134"/>
    <w:qFormat/>
    <w:uiPriority w:val="31"/>
    <w:rPr>
      <w:smallCaps/>
      <w:color w:val="C0504D" w:themeColor="accent2"/>
      <w:u w:val="single"/>
      <w14:textFill>
        <w14:solidFill>
          <w14:schemeClr w14:val="accent2"/>
        </w14:solidFill>
      </w14:textFill>
    </w:rPr>
  </w:style>
  <w:style w:type="character" w:customStyle="1" w:styleId="163">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4"/>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8759</Words>
  <Characters>15728</Characters>
  <Lines>0</Lines>
  <Paragraphs>0</Paragraphs>
  <TotalTime>0</TotalTime>
  <ScaleCrop>false</ScaleCrop>
  <LinksUpToDate>false</LinksUpToDate>
  <CharactersWithSpaces>17271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画外人易朽</cp:lastModifiedBy>
  <dcterms:modified xsi:type="dcterms:W3CDTF">2026-07-03T08:12:06Z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eyJoZGlkIjoiNWNkZDZkOGM3MjJkYTg1N2RiMjY3N2NiY2U5ZWZlMWIiLCJ1c2VySWQiOiIxMjQxNzU4MjYzIn0=</vt:lpwstr>
  </property>
  <property fmtid="{D5CDD505-2E9C-101B-9397-08002B2CF9AE}" pid="3" name="KSOProductBuildVer">
    <vt:lpwstr>2052-12.1.0.26895</vt:lpwstr>
  </property>
  <property fmtid="{D5CDD505-2E9C-101B-9397-08002B2CF9AE}" pid="4" name="ICV">
    <vt:lpwstr>77511AEC457D43F4A6D5CB1D7E486E7B_13</vt:lpwstr>
  </property>
</Properties>
</file>